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footer2.xml" ContentType="application/vnd.openxmlformats-officedocument.wordprocessingml.footer+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157"/>
        <w:rPr>
          <w:rFonts w:ascii="Times New Roman" w:cs="Times New Roman" w:eastAsia="宋体" w:hAnsi="Times New Roman"/>
          <w:sz w:val="24"/>
          <w:szCs w:val="24"/>
        </w:rPr>
      </w:pPr>
      <w:r>
        <w:rPr>
          <w:rFonts w:ascii="Times New Roman" w:cs="Times New Roman" w:hAnsi="Times New Roman"/>
          <w:noProof/>
          <w:sz w:val="24"/>
          <w:szCs w:val="24"/>
          <w:lang w:val="en-GB" w:eastAsia="en-GB"/>
        </w:rPr>
        <mc:AlternateContent>
          <mc:Choice Requires="wps">
            <w:drawing>
              <wp:anchor distT="0" distB="0" distL="0" distR="0" simplePos="false" relativeHeight="2" behindDoc="false" locked="false" layoutInCell="false" allowOverlap="true">
                <wp:simplePos x="0" y="0"/>
                <wp:positionH relativeFrom="page">
                  <wp:align>center</wp:align>
                </wp:positionH>
                <wp:positionV relativeFrom="page">
                  <wp:align>bottom</wp:align>
                </wp:positionV>
                <wp:extent cx="8161020" cy="817880"/>
                <wp:effectExtent l="0" t="0" r="0" b="5080"/>
                <wp:wrapNone/>
                <wp:docPr id="1026" name="Rectangle 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8161020" cy="817880"/>
                        </a:xfrm>
                        <a:prstGeom prst="rect"/>
                        <a:solidFill>
                          <a:srgbClr val="4bacc6"/>
                        </a:solidFill>
                        <a:ln cmpd="sng" cap="flat" w="9525">
                          <a:solidFill>
                            <a:srgbClr val="4f81bd"/>
                          </a:solidFill>
                          <a:prstDash val="solid"/>
                          <a:miter/>
                          <a:headEnd len="med" w="med" type="none"/>
                          <a:tailEnd len="med" w="med" type="none"/>
                        </a:ln>
                      </wps:spPr>
                      <wps:bodyPr>
                        <a:prstTxWarp prst="textNoShape"/>
                      </wps:bodyPr>
                    </wps:wsp>
                  </a:graphicData>
                </a:graphic>
                <wp14:sizeRelH relativeFrom="page">
                  <wp14:pctWidth>105000</wp14:pctWidth>
                </wp14:sizeRelH>
                <wp14:sizeRelV relativeFrom="topMargin">
                  <wp14:pctHeight>90000</wp14:pctHeight>
                </wp14:sizeRelV>
              </wp:anchor>
            </w:drawing>
          </mc:Choice>
          <mc:Fallback>
            <w:pict>
              <v:rect id="1026" fillcolor="#4bacc6" stroked="t" style="position:absolute;margin-left:0.0pt;margin-top:0.0pt;width:642.6pt;height:64.4pt;z-index:2;mso-position-horizontal:center;mso-position-vertical:bottom;mso-position-horizontal-relative:page;mso-position-vertical-relative:page;mso-width-percent:1050;mso-height-percent:900;mso-width-relative:page;mso-height-relative:top-margin-area;mso-wrap-distance-left:0.0pt;mso-wrap-distance-right:0.0pt;visibility:visible;" o:allowincell="false">
                <v:stroke joinstyle="miter" color="#4f81bd"/>
                <v:fill/>
              </v:rect>
            </w:pict>
          </mc:Fallback>
        </mc:AlternateContent>
      </w:r>
      <w:r>
        <w:rPr>
          <w:rFonts w:ascii="Times New Roman" w:cs="Times New Roman" w:hAnsi="Times New Roman"/>
          <w:noProof/>
          <w:sz w:val="24"/>
          <w:szCs w:val="24"/>
          <w:lang w:val="en-GB" w:eastAsia="en-GB"/>
        </w:rPr>
        <mc:AlternateContent>
          <mc:Choice Requires="wps">
            <w:drawing>
              <wp:anchor distT="0" distB="0" distL="0" distR="0" simplePos="false" relativeHeight="5" behindDoc="false" locked="false" layoutInCell="false" allowOverlap="true">
                <wp:simplePos x="0" y="0"/>
                <wp:positionH relativeFrom="leftMargin">
                  <wp:align>center</wp:align>
                </wp:positionH>
                <wp:positionV relativeFrom="page">
                  <wp:align>center</wp:align>
                </wp:positionV>
                <wp:extent cx="90805" cy="10556240"/>
                <wp:effectExtent l="0" t="0" r="4445" b="5080"/>
                <wp:wrapNone/>
                <wp:docPr id="1027" name="Rectangle 5"/>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90805" cy="10556240"/>
                        </a:xfrm>
                        <a:prstGeom prst="rect"/>
                        <a:solidFill>
                          <a:srgbClr val="ffffff"/>
                        </a:solidFill>
                        <a:ln cmpd="sng" cap="flat" w="9525">
                          <a:solidFill>
                            <a:srgbClr val="4f81bd"/>
                          </a:solidFill>
                          <a:prstDash val="solid"/>
                          <a:miter/>
                          <a:headEnd len="med" w="med" type="none"/>
                          <a:tailEnd len="med" w="med" type="none"/>
                        </a:ln>
                      </wps:spPr>
                      <wps:bodyPr>
                        <a:prstTxWarp prst="textNoShape"/>
                      </wps:bodyPr>
                    </wps:wsp>
                  </a:graphicData>
                </a:graphic>
                <wp14:sizeRelH relativeFrom="page">
                  <wp14:pctWidth>0</wp14:pctWidth>
                </wp14:sizeRelH>
                <wp14:sizeRelV relativeFrom="page">
                  <wp14:pctHeight>105000</wp14:pctHeight>
                </wp14:sizeRelV>
              </wp:anchor>
            </w:drawing>
          </mc:Choice>
          <mc:Fallback>
            <w:pict>
              <v:rect id="1027" fillcolor="white" stroked="t" style="position:absolute;margin-left:0.0pt;margin-top:0.0pt;width:7.15pt;height:831.2pt;z-index:5;mso-position-horizontal:center;mso-position-vertical:center;mso-position-horizontal-relative:left-margin-area;mso-position-vertical-relative:page;mso-width-percent:0;mso-height-percent:1050;mso-width-relative:page;mso-height-relative:page;mso-wrap-distance-left:0.0pt;mso-wrap-distance-right:0.0pt;visibility:visible;" o:allowincell="false">
                <v:stroke joinstyle="miter" color="#4f81bd"/>
                <v:fill/>
              </v:rect>
            </w:pict>
          </mc:Fallback>
        </mc:AlternateContent>
      </w:r>
      <w:r>
        <w:rPr>
          <w:rFonts w:ascii="Times New Roman" w:cs="Times New Roman" w:hAnsi="Times New Roman"/>
          <w:noProof/>
          <w:sz w:val="24"/>
          <w:szCs w:val="24"/>
          <w:lang w:val="en-GB" w:eastAsia="en-GB"/>
        </w:rPr>
        <mc:AlternateContent>
          <mc:Choice Requires="wps">
            <w:drawing>
              <wp:anchor distT="0" distB="0" distL="0" distR="0" simplePos="false" relativeHeight="4" behindDoc="false" locked="false" layoutInCell="false" allowOverlap="true">
                <wp:simplePos x="0" y="0"/>
                <wp:positionH relativeFrom="rightMargin">
                  <wp:align>center</wp:align>
                </wp:positionH>
                <wp:positionV relativeFrom="page">
                  <wp:align>center</wp:align>
                </wp:positionV>
                <wp:extent cx="90805" cy="10556240"/>
                <wp:effectExtent l="0" t="0" r="4445" b="5080"/>
                <wp:wrapNone/>
                <wp:docPr id="1028" name="Rectangle 4"/>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90805" cy="10556240"/>
                        </a:xfrm>
                        <a:prstGeom prst="rect"/>
                        <a:solidFill>
                          <a:srgbClr val="ffffff"/>
                        </a:solidFill>
                        <a:ln cmpd="sng" cap="flat" w="9525">
                          <a:solidFill>
                            <a:srgbClr val="4f81bd"/>
                          </a:solidFill>
                          <a:prstDash val="solid"/>
                          <a:miter/>
                          <a:headEnd len="med" w="med" type="none"/>
                          <a:tailEnd len="med" w="med" type="none"/>
                        </a:ln>
                      </wps:spPr>
                      <wps:bodyPr>
                        <a:prstTxWarp prst="textNoShape"/>
                      </wps:bodyPr>
                    </wps:wsp>
                  </a:graphicData>
                </a:graphic>
                <wp14:sizeRelH relativeFrom="page">
                  <wp14:pctWidth>0</wp14:pctWidth>
                </wp14:sizeRelH>
                <wp14:sizeRelV relativeFrom="page">
                  <wp14:pctHeight>105000</wp14:pctHeight>
                </wp14:sizeRelV>
              </wp:anchor>
            </w:drawing>
          </mc:Choice>
          <mc:Fallback>
            <w:pict>
              <v:rect id="1028" fillcolor="white" stroked="t" style="position:absolute;margin-left:0.0pt;margin-top:0.0pt;width:7.15pt;height:831.2pt;z-index:4;mso-position-horizontal:center;mso-position-vertical:center;mso-position-horizontal-relative:right-margin-area;mso-position-vertical-relative:page;mso-width-percent:0;mso-height-percent:1050;mso-width-relative:page;mso-height-relative:page;mso-wrap-distance-left:0.0pt;mso-wrap-distance-right:0.0pt;visibility:visible;" o:allowincell="false">
                <v:stroke joinstyle="miter" color="#4f81bd"/>
                <v:fill/>
              </v:rect>
            </w:pict>
          </mc:Fallback>
        </mc:AlternateContent>
      </w:r>
      <w:r>
        <w:rPr>
          <w:rFonts w:ascii="Times New Roman" w:cs="Times New Roman" w:hAnsi="Times New Roman"/>
          <w:noProof/>
          <w:sz w:val="24"/>
          <w:szCs w:val="24"/>
          <w:lang w:val="en-GB" w:eastAsia="en-GB"/>
        </w:rPr>
        <mc:AlternateContent>
          <mc:Choice Requires="wps">
            <w:drawing>
              <wp:anchor distT="0" distB="0" distL="0" distR="0" simplePos="false" relativeHeight="3" behindDoc="false" locked="false" layoutInCell="false" allowOverlap="true">
                <wp:simplePos x="0" y="0"/>
                <wp:positionH relativeFrom="page">
                  <wp:align>center</wp:align>
                </wp:positionH>
                <wp:positionV relativeFrom="topMargin">
                  <wp:align>top</wp:align>
                </wp:positionV>
                <wp:extent cx="8161020" cy="822959"/>
                <wp:effectExtent l="0" t="0" r="0" b="0"/>
                <wp:wrapNone/>
                <wp:docPr id="1029" name="Rectangle 3"/>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8161020" cy="822959"/>
                        </a:xfrm>
                        <a:prstGeom prst="rect"/>
                        <a:solidFill>
                          <a:srgbClr val="4bacc6"/>
                        </a:solidFill>
                        <a:ln cmpd="sng" cap="flat" w="9525">
                          <a:solidFill>
                            <a:srgbClr val="4f81bd"/>
                          </a:solidFill>
                          <a:prstDash val="solid"/>
                          <a:miter/>
                          <a:headEnd len="med" w="med" type="none"/>
                          <a:tailEnd len="med" w="med" type="none"/>
                        </a:ln>
                      </wps:spPr>
                      <wps:bodyPr>
                        <a:prstTxWarp prst="textNoShape"/>
                      </wps:bodyPr>
                    </wps:wsp>
                  </a:graphicData>
                </a:graphic>
                <wp14:sizeRelH relativeFrom="page">
                  <wp14:pctWidth>105000</wp14:pctWidth>
                </wp14:sizeRelH>
                <wp14:sizeRelV relativeFrom="topMargin">
                  <wp14:pctHeight>90000</wp14:pctHeight>
                </wp14:sizeRelV>
              </wp:anchor>
            </w:drawing>
          </mc:Choice>
          <mc:Fallback>
            <w:pict>
              <v:rect id="1029" fillcolor="#4bacc6" stroked="t" style="position:absolute;margin-left:0.0pt;margin-top:0.0pt;width:642.6pt;height:64.8pt;z-index:3;mso-position-horizontal:center;mso-position-vertical:top;mso-position-horizontal-relative:page;mso-position-vertical-relative:top-margin-area;mso-width-percent:1050;mso-height-percent:900;mso-width-relative:page;mso-height-relative:top-margin-area;mso-wrap-distance-left:0.0pt;mso-wrap-distance-right:0.0pt;visibility:visible;" o:allowincell="false">
                <v:stroke joinstyle="miter" color="#4f81bd"/>
                <v:fill/>
              </v:rect>
            </w:pict>
          </mc:Fallback>
        </mc:AlternateContent>
      </w:r>
    </w:p>
    <w:p>
      <w:pPr>
        <w:pStyle w:val="style157"/>
        <w:rPr>
          <w:rFonts w:ascii="Times New Roman" w:cs="Times New Roman" w:eastAsia="宋体" w:hAnsi="Times New Roman"/>
          <w:sz w:val="56"/>
          <w:szCs w:val="56"/>
        </w:rPr>
      </w:pPr>
      <w:r>
        <w:rPr>
          <w:rFonts w:ascii="Times New Roman" w:cs="Times New Roman" w:eastAsia="PMingLiU" w:hAnsi="Times New Roman"/>
          <w:sz w:val="56"/>
          <w:szCs w:val="72"/>
        </w:rPr>
        <w:t>BSBCOM603 Plan and establish Compliance Management System</w:t>
      </w:r>
    </w:p>
    <w:p>
      <w:pPr>
        <w:pStyle w:val="style157"/>
        <w:rPr>
          <w:rFonts w:ascii="Times New Roman" w:cs="Times New Roman" w:eastAsia="宋体" w:hAnsi="Times New Roman"/>
          <w:sz w:val="24"/>
          <w:szCs w:val="24"/>
        </w:rPr>
      </w:pPr>
      <w:r>
        <w:rPr>
          <w:rFonts w:ascii="Times New Roman" w:cs="Times New Roman" w:eastAsia="宋体" w:hAnsi="Times New Roman"/>
          <w:sz w:val="36"/>
          <w:szCs w:val="36"/>
        </w:rPr>
        <w:t>Assessment 1</w:t>
      </w:r>
    </w:p>
    <w:p>
      <w:pPr>
        <w:pStyle w:val="style157"/>
        <w:rPr>
          <w:rFonts w:ascii="Times New Roman" w:cs="Times New Roman" w:eastAsia="宋体" w:hAnsi="Times New Roman"/>
          <w:sz w:val="24"/>
          <w:szCs w:val="24"/>
        </w:rPr>
      </w:pPr>
    </w:p>
    <w:p>
      <w:pPr>
        <w:pStyle w:val="style157"/>
        <w:rPr>
          <w:rFonts w:ascii="Times New Roman" w:cs="Times New Roman" w:eastAsia="宋体" w:hAnsi="Times New Roman"/>
          <w:sz w:val="24"/>
          <w:szCs w:val="24"/>
        </w:rPr>
      </w:pPr>
    </w:p>
    <w:p>
      <w:pPr>
        <w:pStyle w:val="style157"/>
        <w:rPr>
          <w:rFonts w:ascii="Times New Roman" w:cs="Times New Roman" w:hAnsi="Times New Roman"/>
          <w:sz w:val="24"/>
          <w:szCs w:val="24"/>
        </w:rPr>
      </w:pPr>
    </w:p>
    <w:p>
      <w:pPr>
        <w:pStyle w:val="style157"/>
        <w:rPr>
          <w:rFonts w:ascii="Times New Roman" w:cs="Times New Roman" w:hAnsi="Times New Roman"/>
          <w:sz w:val="24"/>
          <w:szCs w:val="24"/>
        </w:rPr>
      </w:pPr>
      <w:r>
        <w:rPr>
          <w:rFonts w:ascii="Times New Roman" w:cs="Times New Roman" w:hAnsi="Times New Roman"/>
          <w:sz w:val="24"/>
          <w:szCs w:val="24"/>
        </w:rPr>
        <w:t>Microsoft</w:t>
      </w:r>
    </w:p>
    <w:p>
      <w:pPr>
        <w:pStyle w:val="style157"/>
        <w:rPr>
          <w:rFonts w:ascii="Times New Roman" w:cs="Times New Roman" w:hAnsi="Times New Roman"/>
          <w:sz w:val="24"/>
          <w:szCs w:val="24"/>
        </w:rPr>
      </w:pPr>
      <w:r>
        <w:rPr>
          <w:rFonts w:ascii="Times New Roman" w:cs="Times New Roman" w:hAnsi="Times New Roman"/>
          <w:sz w:val="24"/>
          <w:szCs w:val="24"/>
        </w:rPr>
        <w:t>Nadi Chel Ko</w:t>
      </w:r>
    </w:p>
    <w:p>
      <w:pPr>
        <w:pStyle w:val="style0"/>
        <w:rPr>
          <w:rFonts w:ascii="Times New Roman" w:cs="Times New Roman" w:hAnsi="Times New Roman"/>
          <w:sz w:val="24"/>
          <w:szCs w:val="24"/>
        </w:rPr>
      </w:pPr>
    </w:p>
    <w:p>
      <w:pPr>
        <w:pStyle w:val="style0"/>
        <w:rPr>
          <w:rFonts w:ascii="Times New Roman" w:cs="Times New Roman" w:hAnsi="Times New Roman"/>
          <w:b/>
          <w:sz w:val="24"/>
          <w:szCs w:val="24"/>
          <w:u w:val="single"/>
        </w:rPr>
      </w:pPr>
      <w:r>
        <w:rPr>
          <w:rFonts w:ascii="Times New Roman" w:cs="Times New Roman" w:hAnsi="Times New Roman"/>
          <w:b/>
          <w:sz w:val="24"/>
          <w:szCs w:val="24"/>
          <w:u w:val="single"/>
        </w:rPr>
        <w:br w:type="page"/>
      </w:r>
    </w:p>
    <w:p>
      <w:pPr>
        <w:pStyle w:val="style0"/>
        <w:rPr>
          <w:rFonts w:ascii="Times New Roman" w:cs="Times New Roman" w:hAnsi="Times New Roman"/>
          <w:b/>
          <w:sz w:val="24"/>
          <w:szCs w:val="24"/>
          <w:u w:val="single"/>
        </w:rPr>
      </w:pPr>
      <w:r>
        <w:rPr>
          <w:rFonts w:ascii="Times New Roman" w:cs="Times New Roman" w:hAnsi="Times New Roman"/>
          <w:b/>
          <w:sz w:val="24"/>
          <w:szCs w:val="24"/>
          <w:u w:val="single"/>
        </w:rPr>
        <w:t xml:space="preserve">Consultation with Stakeholders </w:t>
      </w:r>
    </w:p>
    <w:tbl>
      <w:tblPr>
        <w:tblW w:w="10082"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82"/>
      </w:tblGrid>
      <w:tr>
        <w:trPr>
          <w:trHeight w:val="948" w:hRule="atLeast"/>
        </w:trPr>
        <w:tc>
          <w:tcPr>
            <w:tcW w:w="10082" w:type="dxa"/>
            <w:tcBorders/>
            <w:shd w:val="clear" w:color="auto" w:fill="auto"/>
          </w:tcPr>
          <w:p>
            <w:pPr>
              <w:pStyle w:val="style0"/>
              <w:spacing w:after="120" w:lineRule="atLeast" w:line="240"/>
              <w:jc w:val="center"/>
              <w:rPr>
                <w:rFonts w:ascii="Times New Roman" w:cs="Times New Roman" w:hAnsi="Times New Roman"/>
                <w:b/>
                <w:sz w:val="24"/>
                <w:szCs w:val="24"/>
              </w:rPr>
            </w:pPr>
            <w:r>
              <w:rPr>
                <w:rFonts w:ascii="Times New Roman" w:cs="Times New Roman" w:hAnsi="Times New Roman"/>
                <w:b/>
                <w:sz w:val="24"/>
                <w:szCs w:val="24"/>
              </w:rPr>
              <w:t>Charity Care Pty. Ltd.</w:t>
            </w:r>
          </w:p>
          <w:p>
            <w:pPr>
              <w:pStyle w:val="style0"/>
              <w:spacing w:after="120" w:lineRule="atLeast" w:line="240"/>
              <w:jc w:val="center"/>
              <w:rPr>
                <w:rFonts w:ascii="Times New Roman" w:cs="Times New Roman" w:hAnsi="Times New Roman"/>
                <w:b/>
                <w:sz w:val="24"/>
                <w:szCs w:val="24"/>
              </w:rPr>
            </w:pPr>
            <w:r>
              <w:rPr>
                <w:rFonts w:ascii="Times New Roman" w:cs="Times New Roman" w:hAnsi="Times New Roman"/>
                <w:b/>
                <w:sz w:val="24"/>
                <w:szCs w:val="24"/>
              </w:rPr>
              <w:t>234 Smith Street</w:t>
            </w:r>
          </w:p>
          <w:p>
            <w:pPr>
              <w:pStyle w:val="style0"/>
              <w:spacing w:after="120" w:lineRule="atLeast" w:line="240"/>
              <w:jc w:val="center"/>
              <w:rPr>
                <w:rFonts w:ascii="Times New Roman" w:cs="Times New Roman" w:hAnsi="Times New Roman"/>
                <w:b/>
                <w:sz w:val="24"/>
                <w:szCs w:val="24"/>
              </w:rPr>
            </w:pPr>
            <w:r>
              <w:rPr>
                <w:rFonts w:ascii="Times New Roman" w:cs="Times New Roman" w:hAnsi="Times New Roman"/>
                <w:b/>
                <w:sz w:val="24"/>
                <w:szCs w:val="24"/>
              </w:rPr>
              <w:t>Sydney NSW 2000</w:t>
            </w:r>
          </w:p>
          <w:p>
            <w:pPr>
              <w:pStyle w:val="style0"/>
              <w:ind w:left="336"/>
              <w:jc w:val="center"/>
              <w:rPr>
                <w:rFonts w:ascii="Times New Roman" w:cs="Times New Roman" w:hAnsi="Times New Roman"/>
                <w:b/>
                <w:sz w:val="24"/>
                <w:szCs w:val="24"/>
                <w:u w:val="single"/>
              </w:rPr>
            </w:pPr>
          </w:p>
          <w:p>
            <w:pPr>
              <w:pStyle w:val="style0"/>
              <w:ind w:left="336"/>
              <w:jc w:val="center"/>
              <w:rPr>
                <w:rFonts w:ascii="Times New Roman" w:cs="Times New Roman" w:hAnsi="Times New Roman"/>
                <w:sz w:val="24"/>
                <w:szCs w:val="24"/>
              </w:rPr>
            </w:pPr>
            <w:r>
              <w:rPr>
                <w:rFonts w:ascii="Times New Roman" w:cs="Times New Roman" w:hAnsi="Times New Roman"/>
                <w:b/>
                <w:sz w:val="24"/>
                <w:szCs w:val="24"/>
                <w:u w:val="single"/>
              </w:rPr>
              <w:t>SURVEY FORM</w:t>
            </w:r>
          </w:p>
          <w:p>
            <w:pPr>
              <w:pStyle w:val="style0"/>
              <w:rPr>
                <w:rFonts w:ascii="Times New Roman" w:cs="Times New Roman" w:hAnsi="Times New Roman"/>
                <w:b/>
                <w:bCs/>
                <w:sz w:val="24"/>
                <w:szCs w:val="24"/>
              </w:rPr>
            </w:pPr>
          </w:p>
          <w:p>
            <w:pPr>
              <w:pStyle w:val="style0"/>
              <w:rPr>
                <w:rFonts w:ascii="Times New Roman" w:cs="Times New Roman" w:hAnsi="Times New Roman"/>
                <w:sz w:val="24"/>
                <w:szCs w:val="24"/>
              </w:rPr>
            </w:pPr>
            <w:r>
              <w:rPr>
                <w:rFonts w:ascii="Times New Roman" w:cs="Times New Roman" w:hAnsi="Times New Roman"/>
                <w:b/>
                <w:bCs/>
                <w:sz w:val="24"/>
                <w:szCs w:val="24"/>
              </w:rPr>
              <w:t xml:space="preserve">NAME:  </w:t>
            </w:r>
            <w:r>
              <w:rPr>
                <w:rFonts w:ascii="Times New Roman" w:cs="Times New Roman" w:hAnsi="Times New Roman"/>
                <w:b/>
                <w:bCs/>
                <w:sz w:val="24"/>
                <w:szCs w:val="24"/>
              </w:rPr>
              <w:t>Mary Taylor</w:t>
            </w:r>
            <w:r>
              <w:rPr>
                <w:rFonts w:ascii="Times New Roman" w:cs="Times New Roman" w:hAnsi="Times New Roman"/>
                <w:b/>
                <w:bCs/>
                <w:sz w:val="24"/>
                <w:szCs w:val="24"/>
              </w:rPr>
              <w:t xml:space="preserve">                                                                        </w:t>
            </w:r>
            <w:r>
              <w:rPr>
                <w:rFonts w:ascii="Times New Roman" w:cs="Times New Roman" w:hAnsi="Times New Roman"/>
                <w:b/>
                <w:bCs/>
                <w:sz w:val="24"/>
                <w:szCs w:val="24"/>
              </w:rPr>
              <w:t xml:space="preserve">  </w:t>
            </w:r>
            <w:r>
              <w:rPr>
                <w:rFonts w:ascii="Times New Roman" w:cs="Times New Roman" w:hAnsi="Times New Roman"/>
                <w:b/>
                <w:bCs/>
                <w:sz w:val="24"/>
                <w:szCs w:val="24"/>
              </w:rPr>
              <w:t xml:space="preserve">  Department:   </w:t>
            </w:r>
            <w:r>
              <w:rPr>
                <w:rFonts w:ascii="Times New Roman" w:cs="Times New Roman" w:hAnsi="Times New Roman"/>
                <w:b/>
                <w:bCs/>
                <w:sz w:val="24"/>
                <w:szCs w:val="24"/>
              </w:rPr>
              <w:t xml:space="preserve">Sales </w:t>
            </w:r>
            <w:r>
              <w:rPr>
                <w:rFonts w:ascii="Times New Roman" w:cs="Times New Roman" w:hAnsi="Times New Roman"/>
                <w:b/>
                <w:bCs/>
                <w:sz w:val="24"/>
                <w:szCs w:val="24"/>
              </w:rPr>
              <w:t xml:space="preserve">                                                                                   </w:t>
            </w:r>
          </w:p>
        </w:tc>
      </w:tr>
      <w:tr>
        <w:tblPrEx/>
        <w:trPr>
          <w:trHeight w:val="588" w:hRule="atLeast"/>
        </w:trPr>
        <w:tc>
          <w:tcPr>
            <w:tcW w:w="10082" w:type="dxa"/>
            <w:tcBorders/>
            <w:shd w:val="clear" w:color="auto" w:fill="auto"/>
          </w:tcPr>
          <w:p>
            <w:pPr>
              <w:pStyle w:val="style0"/>
              <w:ind w:left="336"/>
              <w:rPr>
                <w:rFonts w:ascii="Times New Roman" w:cs="Times New Roman" w:hAnsi="Times New Roman"/>
                <w:b/>
                <w:sz w:val="24"/>
                <w:szCs w:val="24"/>
              </w:rPr>
            </w:pPr>
            <w:r>
              <w:rPr>
                <w:rFonts w:ascii="Times New Roman" w:cs="Times New Roman" w:hAnsi="Times New Roman"/>
                <w:sz w:val="24"/>
                <w:szCs w:val="24"/>
              </w:rPr>
              <w:t xml:space="preserve"> </w:t>
            </w:r>
            <w:r>
              <w:rPr>
                <w:rFonts w:ascii="Times New Roman" w:cs="Times New Roman" w:hAnsi="Times New Roman"/>
                <w:b/>
                <w:sz w:val="24"/>
                <w:szCs w:val="24"/>
              </w:rPr>
              <w:t>QUESTIONS</w:t>
            </w:r>
          </w:p>
        </w:tc>
      </w:tr>
      <w:tr>
        <w:tblPrEx/>
        <w:trPr>
          <w:trHeight w:val="474" w:hRule="atLeast"/>
        </w:trPr>
        <w:tc>
          <w:tcPr>
            <w:tcW w:w="10082" w:type="dxa"/>
            <w:tcBorders/>
            <w:shd w:val="clear" w:color="auto" w:fill="auto"/>
          </w:tcPr>
          <w:p>
            <w:pPr>
              <w:pStyle w:val="style0"/>
              <w:rPr>
                <w:rFonts w:ascii="Times New Roman" w:cs="Times New Roman" w:hAnsi="Times New Roman"/>
                <w:b/>
                <w:sz w:val="24"/>
                <w:szCs w:val="24"/>
              </w:rPr>
            </w:pPr>
            <w:r>
              <w:rPr>
                <w:rFonts w:ascii="Times New Roman" w:cs="Times New Roman" w:hAnsi="Times New Roman"/>
                <w:b/>
                <w:sz w:val="24"/>
                <w:szCs w:val="24"/>
              </w:rPr>
              <w:t>Do you believe that our policies and procedures are efficient?</w:t>
            </w:r>
          </w:p>
          <w:p>
            <w:pPr>
              <w:pStyle w:val="style0"/>
              <w:rPr>
                <w:rFonts w:ascii="Times New Roman" w:cs="Times New Roman" w:hAnsi="Times New Roman"/>
                <w:sz w:val="24"/>
                <w:szCs w:val="24"/>
              </w:rPr>
            </w:pPr>
            <w:r>
              <w:rPr>
                <w:rFonts w:ascii="Times New Roman" w:cs="Times New Roman" w:hAnsi="Times New Roman"/>
                <w:sz w:val="24"/>
                <w:szCs w:val="24"/>
              </w:rPr>
              <w:t xml:space="preserve">I don’t think so, especially with the problems that we have experienced in the past. </w:t>
            </w:r>
          </w:p>
        </w:tc>
      </w:tr>
      <w:tr>
        <w:tblPrEx/>
        <w:trPr>
          <w:trHeight w:val="240" w:hRule="atLeast"/>
        </w:trPr>
        <w:tc>
          <w:tcPr>
            <w:tcW w:w="10082" w:type="dxa"/>
            <w:tcBorders/>
            <w:shd w:val="clear" w:color="auto" w:fill="auto"/>
          </w:tcPr>
          <w:p>
            <w:pPr>
              <w:pStyle w:val="style0"/>
              <w:rPr>
                <w:rFonts w:ascii="Times New Roman" w:cs="Times New Roman" w:hAnsi="Times New Roman"/>
                <w:b/>
                <w:sz w:val="24"/>
                <w:szCs w:val="24"/>
              </w:rPr>
            </w:pPr>
            <w:r>
              <w:rPr>
                <w:rFonts w:ascii="Times New Roman" w:cs="Times New Roman" w:hAnsi="Times New Roman"/>
                <w:b/>
                <w:sz w:val="24"/>
                <w:szCs w:val="24"/>
              </w:rPr>
              <w:t>Do you believe that our policies and procedures are compliant?</w:t>
            </w:r>
          </w:p>
          <w:p>
            <w:pPr>
              <w:pStyle w:val="style0"/>
              <w:rPr>
                <w:rFonts w:ascii="Times New Roman" w:cs="Times New Roman" w:hAnsi="Times New Roman"/>
                <w:sz w:val="24"/>
                <w:szCs w:val="24"/>
              </w:rPr>
            </w:pPr>
            <w:r>
              <w:rPr>
                <w:rFonts w:ascii="Times New Roman" w:cs="Times New Roman" w:hAnsi="Times New Roman"/>
                <w:sz w:val="24"/>
                <w:szCs w:val="24"/>
              </w:rPr>
              <w:t xml:space="preserve">So far, no, I don’t think that they are. </w:t>
            </w:r>
          </w:p>
        </w:tc>
      </w:tr>
      <w:tr>
        <w:tblPrEx/>
        <w:trPr>
          <w:trHeight w:val="576" w:hRule="atLeast"/>
        </w:trPr>
        <w:tc>
          <w:tcPr>
            <w:tcW w:w="10082" w:type="dxa"/>
            <w:tcBorders/>
            <w:shd w:val="clear" w:color="auto" w:fill="auto"/>
          </w:tcPr>
          <w:p>
            <w:pPr>
              <w:pStyle w:val="style0"/>
              <w:rPr>
                <w:rFonts w:ascii="Times New Roman" w:cs="Times New Roman" w:hAnsi="Times New Roman"/>
                <w:b/>
                <w:sz w:val="24"/>
                <w:szCs w:val="24"/>
              </w:rPr>
            </w:pPr>
            <w:r>
              <w:rPr>
                <w:rFonts w:ascii="Times New Roman" w:cs="Times New Roman" w:hAnsi="Times New Roman"/>
                <w:b/>
                <w:sz w:val="24"/>
                <w:szCs w:val="24"/>
              </w:rPr>
              <w:t>Do you agree that all of our policies and procedures meet industry requirements?</w:t>
            </w:r>
          </w:p>
          <w:p>
            <w:pPr>
              <w:pStyle w:val="style0"/>
              <w:rPr>
                <w:rFonts w:ascii="Times New Roman" w:cs="Times New Roman" w:hAnsi="Times New Roman"/>
                <w:sz w:val="24"/>
                <w:szCs w:val="24"/>
              </w:rPr>
            </w:pPr>
            <w:r>
              <w:rPr>
                <w:rFonts w:ascii="Times New Roman" w:cs="Times New Roman" w:hAnsi="Times New Roman"/>
                <w:sz w:val="24"/>
                <w:szCs w:val="24"/>
              </w:rPr>
              <w:t>Not all, but I think a few of them meet the industry requirements</w:t>
            </w:r>
          </w:p>
        </w:tc>
      </w:tr>
      <w:tr>
        <w:tblPrEx/>
        <w:trPr>
          <w:trHeight w:val="468" w:hRule="atLeast"/>
        </w:trPr>
        <w:tc>
          <w:tcPr>
            <w:tcW w:w="10082" w:type="dxa"/>
            <w:tcBorders/>
            <w:shd w:val="clear" w:color="auto" w:fill="auto"/>
          </w:tcPr>
          <w:p>
            <w:pPr>
              <w:pStyle w:val="style0"/>
              <w:rPr>
                <w:rFonts w:ascii="Times New Roman" w:cs="Times New Roman" w:hAnsi="Times New Roman"/>
                <w:b/>
                <w:sz w:val="24"/>
                <w:szCs w:val="24"/>
              </w:rPr>
            </w:pPr>
            <w:r>
              <w:rPr>
                <w:rFonts w:ascii="Times New Roman" w:cs="Times New Roman" w:hAnsi="Times New Roman"/>
                <w:b/>
                <w:sz w:val="24"/>
                <w:szCs w:val="24"/>
              </w:rPr>
              <w:t>Do you agree that our policies and procedures need to be reviewed?</w:t>
            </w:r>
          </w:p>
          <w:p>
            <w:pPr>
              <w:pStyle w:val="style0"/>
              <w:rPr>
                <w:rFonts w:ascii="Times New Roman" w:cs="Times New Roman" w:hAnsi="Times New Roman"/>
                <w:sz w:val="24"/>
                <w:szCs w:val="24"/>
              </w:rPr>
            </w:pPr>
            <w:r>
              <w:rPr>
                <w:rFonts w:ascii="Times New Roman" w:cs="Times New Roman" w:hAnsi="Times New Roman"/>
                <w:sz w:val="24"/>
                <w:szCs w:val="24"/>
              </w:rPr>
              <w:t>Of course, yes, I do believe that our policies and procedures need to be reviewed to change what is not working well.</w:t>
            </w:r>
          </w:p>
        </w:tc>
      </w:tr>
      <w:tr>
        <w:tblPrEx/>
        <w:trPr>
          <w:trHeight w:val="228" w:hRule="atLeast"/>
        </w:trPr>
        <w:tc>
          <w:tcPr>
            <w:tcW w:w="10082" w:type="dxa"/>
            <w:tcBorders/>
            <w:shd w:val="clear" w:color="auto" w:fill="auto"/>
          </w:tcPr>
          <w:p>
            <w:pPr>
              <w:pStyle w:val="style0"/>
              <w:rPr>
                <w:rFonts w:ascii="Times New Roman" w:cs="Times New Roman" w:hAnsi="Times New Roman"/>
                <w:b/>
                <w:sz w:val="24"/>
                <w:szCs w:val="24"/>
              </w:rPr>
            </w:pPr>
            <w:r>
              <w:rPr>
                <w:rFonts w:ascii="Times New Roman" w:cs="Times New Roman" w:hAnsi="Times New Roman"/>
                <w:b/>
                <w:sz w:val="24"/>
                <w:szCs w:val="24"/>
              </w:rPr>
              <w:t>Do you agree that Charity care has an effective risk management system in place?</w:t>
            </w:r>
          </w:p>
          <w:p>
            <w:pPr>
              <w:pStyle w:val="style0"/>
              <w:rPr>
                <w:rFonts w:ascii="Times New Roman" w:cs="Times New Roman" w:hAnsi="Times New Roman"/>
                <w:sz w:val="24"/>
                <w:szCs w:val="24"/>
              </w:rPr>
            </w:pPr>
            <w:r>
              <w:rPr>
                <w:rFonts w:ascii="Times New Roman" w:cs="Times New Roman" w:hAnsi="Times New Roman"/>
                <w:sz w:val="24"/>
                <w:szCs w:val="24"/>
              </w:rPr>
              <w:t>No, I don’t think that we have an effective risk management system in place.</w:t>
            </w:r>
          </w:p>
        </w:tc>
      </w:tr>
      <w:tr>
        <w:tblPrEx/>
        <w:trPr>
          <w:trHeight w:val="252" w:hRule="atLeast"/>
        </w:trPr>
        <w:tc>
          <w:tcPr>
            <w:tcW w:w="10082" w:type="dxa"/>
            <w:tcBorders/>
            <w:shd w:val="clear" w:color="auto" w:fill="auto"/>
          </w:tcPr>
          <w:p>
            <w:pPr>
              <w:pStyle w:val="style0"/>
              <w:rPr>
                <w:rFonts w:ascii="Times New Roman" w:cs="Times New Roman" w:hAnsi="Times New Roman"/>
                <w:b/>
                <w:sz w:val="24"/>
                <w:szCs w:val="24"/>
              </w:rPr>
            </w:pPr>
            <w:r>
              <w:rPr>
                <w:rFonts w:ascii="Times New Roman" w:cs="Times New Roman" w:hAnsi="Times New Roman"/>
                <w:b/>
                <w:sz w:val="24"/>
                <w:szCs w:val="24"/>
              </w:rPr>
              <w:t>Do you agree that all the policies and procedures are being followed by staff?</w:t>
            </w:r>
          </w:p>
          <w:p>
            <w:pPr>
              <w:pStyle w:val="style0"/>
              <w:rPr>
                <w:rFonts w:ascii="Times New Roman" w:cs="Times New Roman" w:hAnsi="Times New Roman"/>
                <w:sz w:val="24"/>
                <w:szCs w:val="24"/>
              </w:rPr>
            </w:pPr>
            <w:r>
              <w:rPr>
                <w:rFonts w:ascii="Times New Roman" w:cs="Times New Roman" w:hAnsi="Times New Roman"/>
                <w:sz w:val="24"/>
                <w:szCs w:val="24"/>
              </w:rPr>
              <w:t>No, I think that all the policies are not followed as required.</w:t>
            </w:r>
          </w:p>
        </w:tc>
      </w:tr>
      <w:tr>
        <w:tblPrEx/>
        <w:trPr>
          <w:trHeight w:val="336" w:hRule="atLeast"/>
        </w:trPr>
        <w:tc>
          <w:tcPr>
            <w:tcW w:w="10082" w:type="dxa"/>
            <w:tcBorders/>
            <w:shd w:val="clear" w:color="auto" w:fill="auto"/>
          </w:tcPr>
          <w:p>
            <w:pPr>
              <w:pStyle w:val="style0"/>
              <w:rPr>
                <w:rFonts w:ascii="Times New Roman" w:cs="Times New Roman" w:hAnsi="Times New Roman"/>
                <w:b/>
                <w:sz w:val="24"/>
                <w:szCs w:val="24"/>
              </w:rPr>
            </w:pPr>
            <w:r>
              <w:rPr>
                <w:rFonts w:ascii="Times New Roman" w:cs="Times New Roman" w:hAnsi="Times New Roman"/>
                <w:b/>
                <w:sz w:val="24"/>
                <w:szCs w:val="24"/>
              </w:rPr>
              <w:t>Do you agree that Charity Care has an effective record management policy?</w:t>
            </w:r>
          </w:p>
          <w:p>
            <w:pPr>
              <w:pStyle w:val="style0"/>
              <w:rPr>
                <w:rFonts w:ascii="Times New Roman" w:cs="Times New Roman" w:hAnsi="Times New Roman"/>
                <w:sz w:val="24"/>
                <w:szCs w:val="24"/>
              </w:rPr>
            </w:pPr>
            <w:r>
              <w:rPr>
                <w:rFonts w:ascii="Times New Roman" w:cs="Times New Roman" w:hAnsi="Times New Roman"/>
                <w:sz w:val="24"/>
                <w:szCs w:val="24"/>
              </w:rPr>
              <w:t xml:space="preserve">No, I don’t think so. The problems raised by the audit firm can confirm this. </w:t>
            </w:r>
          </w:p>
        </w:tc>
      </w:tr>
      <w:tr>
        <w:tblPrEx/>
        <w:trPr>
          <w:trHeight w:val="204" w:hRule="atLeast"/>
        </w:trPr>
        <w:tc>
          <w:tcPr>
            <w:tcW w:w="10082" w:type="dxa"/>
            <w:tcBorders/>
            <w:shd w:val="clear" w:color="auto" w:fill="auto"/>
          </w:tcPr>
          <w:p>
            <w:pPr>
              <w:pStyle w:val="style0"/>
              <w:rPr>
                <w:rFonts w:ascii="Times New Roman" w:cs="Times New Roman" w:hAnsi="Times New Roman"/>
                <w:b/>
                <w:sz w:val="24"/>
                <w:szCs w:val="24"/>
              </w:rPr>
            </w:pPr>
            <w:r>
              <w:rPr>
                <w:rFonts w:ascii="Times New Roman" w:cs="Times New Roman" w:hAnsi="Times New Roman"/>
                <w:b/>
                <w:sz w:val="24"/>
                <w:szCs w:val="24"/>
              </w:rPr>
              <w:t>Do you agree that Charity Care has an effective com</w:t>
            </w:r>
            <w:r>
              <w:rPr>
                <w:rFonts w:ascii="Times New Roman" w:cs="Times New Roman" w:hAnsi="Times New Roman"/>
                <w:b/>
                <w:sz w:val="24"/>
                <w:szCs w:val="24"/>
              </w:rPr>
              <w:t>plaint handling system in place</w:t>
            </w:r>
          </w:p>
          <w:p>
            <w:pPr>
              <w:pStyle w:val="style0"/>
              <w:rPr>
                <w:rFonts w:ascii="Times New Roman" w:cs="Times New Roman" w:hAnsi="Times New Roman"/>
                <w:sz w:val="24"/>
                <w:szCs w:val="24"/>
              </w:rPr>
            </w:pPr>
            <w:r>
              <w:rPr>
                <w:rFonts w:ascii="Times New Roman" w:cs="Times New Roman" w:hAnsi="Times New Roman"/>
                <w:sz w:val="24"/>
                <w:szCs w:val="24"/>
              </w:rPr>
              <w:t xml:space="preserve">So far, I don’t think that we have an effective complaint system in place. However, this does not mean that we don’t have a system that deals with complaints. It just need review and some changes to be effective. </w:t>
            </w:r>
          </w:p>
          <w:p>
            <w:pPr>
              <w:pStyle w:val="style0"/>
              <w:rPr>
                <w:rFonts w:ascii="Times New Roman" w:cs="Times New Roman" w:hAnsi="Times New Roman"/>
                <w:sz w:val="24"/>
                <w:szCs w:val="24"/>
              </w:rPr>
            </w:pPr>
          </w:p>
        </w:tc>
      </w:tr>
      <w:tr>
        <w:tblPrEx/>
        <w:trPr>
          <w:trHeight w:val="288" w:hRule="atLeast"/>
        </w:trPr>
        <w:tc>
          <w:tcPr>
            <w:tcW w:w="10082" w:type="dxa"/>
            <w:tcBorders/>
            <w:shd w:val="clear" w:color="auto" w:fill="auto"/>
          </w:tcPr>
          <w:p>
            <w:pPr>
              <w:pStyle w:val="style0"/>
              <w:rPr>
                <w:rFonts w:ascii="Times New Roman" w:cs="Times New Roman" w:hAnsi="Times New Roman"/>
                <w:sz w:val="24"/>
                <w:szCs w:val="24"/>
              </w:rPr>
            </w:pPr>
            <w:r>
              <w:rPr>
                <w:rFonts w:ascii="Times New Roman" w:cs="Times New Roman" w:hAnsi="Times New Roman"/>
                <w:b/>
                <w:sz w:val="24"/>
                <w:szCs w:val="24"/>
              </w:rPr>
              <w:t>COMMENTS:</w:t>
            </w:r>
            <w:r>
              <w:rPr>
                <w:rFonts w:ascii="Times New Roman" w:cs="Times New Roman" w:hAnsi="Times New Roman"/>
                <w:b/>
                <w:sz w:val="24"/>
                <w:szCs w:val="24"/>
              </w:rPr>
              <w:t xml:space="preserve"> </w:t>
            </w:r>
            <w:r>
              <w:rPr>
                <w:rFonts w:ascii="Times New Roman" w:cs="Times New Roman" w:hAnsi="Times New Roman"/>
                <w:sz w:val="24"/>
                <w:szCs w:val="24"/>
              </w:rPr>
              <w:t>Based on this interview, Charity Care does not have effective compliance system in place. Further review of the policies in place is required for the organizatio</w:t>
            </w:r>
            <w:bookmarkStart w:id="0" w:name="_GoBack"/>
            <w:bookmarkEnd w:id="0"/>
            <w:r>
              <w:rPr>
                <w:rFonts w:ascii="Times New Roman" w:cs="Times New Roman" w:hAnsi="Times New Roman"/>
                <w:sz w:val="24"/>
                <w:szCs w:val="24"/>
              </w:rPr>
              <w:t xml:space="preserve">n to be effective. </w:t>
            </w:r>
          </w:p>
          <w:p>
            <w:pPr>
              <w:pStyle w:val="style0"/>
              <w:rPr>
                <w:rFonts w:ascii="Times New Roman" w:cs="Times New Roman" w:hAnsi="Times New Roman"/>
                <w:sz w:val="24"/>
                <w:szCs w:val="24"/>
              </w:rPr>
            </w:pPr>
            <w:r>
              <w:rPr>
                <w:rFonts w:ascii="Times New Roman" w:cs="Times New Roman" w:hAnsi="Times New Roman"/>
                <w:b/>
                <w:sz w:val="24"/>
                <w:szCs w:val="24"/>
              </w:rPr>
              <w:t xml:space="preserve">SIGNATURE:                                                                      </w:t>
            </w:r>
            <w:r>
              <w:rPr>
                <w:rFonts w:ascii="Times New Roman" w:cs="Times New Roman" w:hAnsi="Times New Roman"/>
                <w:b/>
                <w:sz w:val="24"/>
                <w:szCs w:val="24"/>
              </w:rPr>
              <w:t xml:space="preserve">                        </w:t>
            </w:r>
            <w:r>
              <w:rPr>
                <w:rFonts w:ascii="Times New Roman" w:cs="Times New Roman" w:hAnsi="Times New Roman"/>
                <w:b/>
                <w:sz w:val="24"/>
                <w:szCs w:val="24"/>
              </w:rPr>
              <w:t xml:space="preserve">    </w:t>
            </w:r>
            <w:r>
              <w:rPr>
                <w:rFonts w:ascii="Times New Roman" w:cs="Times New Roman" w:hAnsi="Times New Roman"/>
                <w:b/>
                <w:bCs/>
                <w:sz w:val="24"/>
                <w:szCs w:val="24"/>
              </w:rPr>
              <w:t>Date:</w:t>
            </w:r>
          </w:p>
        </w:tc>
      </w:tr>
    </w:tbl>
    <w:p>
      <w:pPr>
        <w:pStyle w:val="style0"/>
        <w:jc w:val="center"/>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bookmarkStart w:id="1" w:name="_Toc30487930"/>
    <w:p>
      <w:pPr>
        <w:pStyle w:val="style1"/>
        <w:spacing w:before="0" w:lineRule="auto" w:line="480"/>
        <w:jc w:val="center"/>
        <w:rPr>
          <w:rFonts w:ascii="Times New Roman" w:cs="Times New Roman" w:hAnsi="Times New Roman"/>
          <w:b w:val="false"/>
          <w:color w:val="auto"/>
          <w:sz w:val="24"/>
          <w:szCs w:val="24"/>
        </w:rPr>
      </w:pPr>
      <w:r>
        <w:rPr>
          <w:rFonts w:ascii="Times New Roman" w:cs="Times New Roman" w:hAnsi="Times New Roman"/>
          <w:b w:val="false"/>
          <w:color w:val="auto"/>
          <w:sz w:val="24"/>
          <w:szCs w:val="24"/>
        </w:rPr>
        <w:t>SYNOPSIS</w:t>
      </w:r>
      <w:bookmarkEnd w:id="1"/>
    </w:p>
    <w:p>
      <w:pPr>
        <w:pStyle w:val="style0"/>
        <w:spacing w:after="0" w:lineRule="auto" w:line="480"/>
        <w:ind w:left="720"/>
        <w:rPr>
          <w:rFonts w:ascii="Times New Roman" w:cs="Times New Roman" w:hAnsi="Times New Roman"/>
          <w:sz w:val="24"/>
          <w:szCs w:val="24"/>
        </w:rPr>
      </w:pPr>
      <w:r>
        <w:rPr>
          <w:rFonts w:ascii="Times New Roman" w:cs="Times New Roman" w:hAnsi="Times New Roman"/>
          <w:sz w:val="24"/>
          <w:szCs w:val="24"/>
        </w:rPr>
        <w:t xml:space="preserve">The case study of this assignment is about Charity Care. Charity Care is a public company that is based on Brisbane and is limited by the regulations under Corporations Act 2001. The case study highlights the key personnel making up the administrative structure of Charity Care. The case study also highlights the audit report findings that demonstrate Charity Care’s non-compliance with the regulations. The case study provides detailed analysis of each department in Charity Care that does not adhere to the compliance management system guidelines. </w:t>
      </w:r>
    </w:p>
    <w:p>
      <w:pPr>
        <w:pStyle w:val="style0"/>
        <w:spacing w:after="0" w:lineRule="auto" w:line="480"/>
        <w:rPr>
          <w:rFonts w:ascii="Times New Roman" w:cs="Times New Roman" w:hAnsi="Times New Roman"/>
          <w:b/>
          <w:sz w:val="24"/>
          <w:szCs w:val="24"/>
        </w:rPr>
      </w:pPr>
    </w:p>
    <w:p>
      <w:pPr>
        <w:pStyle w:val="style0"/>
        <w:rPr>
          <w:rFonts w:ascii="Times New Roman" w:cs="Times New Roman" w:hAnsi="Times New Roman"/>
          <w:b/>
          <w:sz w:val="24"/>
          <w:szCs w:val="24"/>
        </w:rPr>
      </w:pPr>
    </w:p>
    <w:p>
      <w:pPr>
        <w:pStyle w:val="style0"/>
        <w:rPr>
          <w:rFonts w:ascii="Times New Roman" w:cs="Times New Roman" w:hAnsi="Times New Roman"/>
          <w:b/>
          <w:sz w:val="24"/>
          <w:szCs w:val="24"/>
        </w:rPr>
      </w:pPr>
    </w:p>
    <w:p>
      <w:pPr>
        <w:pStyle w:val="style0"/>
        <w:rPr>
          <w:rFonts w:ascii="Times New Roman" w:cs="Times New Roman" w:hAnsi="Times New Roman"/>
          <w:b/>
          <w:sz w:val="24"/>
          <w:szCs w:val="24"/>
        </w:rPr>
      </w:pPr>
    </w:p>
    <w:p>
      <w:pPr>
        <w:pStyle w:val="style0"/>
        <w:jc w:val="center"/>
        <w:rPr>
          <w:rFonts w:ascii="Times New Roman" w:cs="Times New Roman" w:hAnsi="Times New Roman"/>
          <w:b/>
          <w:sz w:val="24"/>
          <w:szCs w:val="24"/>
        </w:rPr>
      </w:pPr>
    </w:p>
    <w:p>
      <w:pPr>
        <w:pStyle w:val="style266"/>
        <w:spacing w:before="0"/>
        <w:jc w:val="center"/>
        <w:rPr>
          <w:rFonts w:ascii="Times New Roman" w:cs="Times New Roman" w:hAnsi="Times New Roman"/>
          <w:b w:val="false"/>
          <w:sz w:val="24"/>
          <w:szCs w:val="24"/>
        </w:rPr>
      </w:pPr>
      <w:r>
        <w:rPr>
          <w:rFonts w:ascii="Times New Roman" w:cs="Times New Roman" w:hAnsi="Times New Roman"/>
          <w:b w:val="false"/>
          <w:sz w:val="24"/>
          <w:szCs w:val="24"/>
        </w:rPr>
        <w:br w:type="column"/>
      </w:r>
      <w:bookmarkStart w:id="2" w:name="_Toc360874523"/>
    </w:p>
    <w:p>
      <w:pPr>
        <w:pStyle w:val="style0"/>
        <w:jc w:val="center"/>
        <w:rPr>
          <w:rFonts w:ascii="Times New Roman" w:cs="Times New Roman" w:hAnsi="Times New Roman"/>
          <w:b/>
          <w:bCs/>
          <w:sz w:val="24"/>
          <w:szCs w:val="24"/>
        </w:rPr>
      </w:pPr>
    </w:p>
    <w:p>
      <w:pPr>
        <w:pStyle w:val="style266"/>
        <w:spacing w:before="0"/>
        <w:jc w:val="center"/>
        <w:rPr>
          <w:rFonts w:ascii="Times New Roman" w:cs="Times New Roman" w:hAnsi="Times New Roman"/>
          <w:sz w:val="24"/>
          <w:szCs w:val="24"/>
        </w:rPr>
      </w:pPr>
      <w:r>
        <w:rPr>
          <w:rFonts w:ascii="Times New Roman" w:cs="Times New Roman" w:hAnsi="Times New Roman"/>
          <w:sz w:val="24"/>
          <w:szCs w:val="24"/>
        </w:rPr>
        <w:t>Table of Contents</w:t>
      </w:r>
    </w:p>
    <w:p>
      <w:pPr>
        <w:pStyle w:val="style0"/>
        <w:rPr>
          <w:rFonts w:ascii="Times New Roman" w:cs="Times New Roman" w:hAnsi="Times New Roman"/>
          <w:sz w:val="24"/>
          <w:szCs w:val="24"/>
          <w:lang w:val="en-US" w:eastAsia="ja-JP"/>
        </w:rPr>
      </w:pPr>
    </w:p>
    <w:p>
      <w:pPr>
        <w:pStyle w:val="style19"/>
        <w:rPr>
          <w:rFonts w:ascii="Times New Roman" w:cs="Times New Roman" w:eastAsia="宋体" w:hAnsi="Times New Roman"/>
          <w:noProof/>
          <w:sz w:val="24"/>
          <w:szCs w:val="24"/>
          <w:lang w:val="en-GB" w:eastAsia="en-GB"/>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TOC \o "1-3" \h \z \u </w:instrText>
      </w:r>
      <w:r>
        <w:rPr>
          <w:rFonts w:ascii="Times New Roman" w:cs="Times New Roman" w:hAnsi="Times New Roman"/>
          <w:sz w:val="24"/>
          <w:szCs w:val="24"/>
        </w:rPr>
        <w:fldChar w:fldCharType="separate"/>
      </w:r>
      <w:r>
        <w:rPr/>
        <w:fldChar w:fldCharType="begin"/>
      </w:r>
      <w:r>
        <w:instrText xml:space="preserve"> HYPERLINK \l "_Toc30487930" </w:instrText>
      </w:r>
      <w:r>
        <w:rPr/>
        <w:fldChar w:fldCharType="separate"/>
      </w:r>
      <w:r>
        <w:rPr>
          <w:rStyle w:val="style85"/>
          <w:rFonts w:ascii="Times New Roman" w:cs="Times New Roman" w:hAnsi="Times New Roman"/>
          <w:noProof/>
          <w:sz w:val="24"/>
          <w:szCs w:val="24"/>
        </w:rPr>
        <w:t>SYNOPSIS</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_Toc30487930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3</w:t>
      </w:r>
      <w:r>
        <w:rPr>
          <w:rFonts w:ascii="Times New Roman" w:cs="Times New Roman" w:hAnsi="Times New Roman"/>
          <w:noProof/>
          <w:webHidden/>
          <w:sz w:val="24"/>
          <w:szCs w:val="24"/>
        </w:rPr>
        <w:fldChar w:fldCharType="end"/>
      </w:r>
      <w:r>
        <w:rPr/>
        <w:fldChar w:fldCharType="end"/>
      </w:r>
    </w:p>
    <w:p>
      <w:pPr>
        <w:pStyle w:val="style19"/>
        <w:rPr>
          <w:rFonts w:ascii="Times New Roman" w:cs="Times New Roman" w:eastAsia="宋体" w:hAnsi="Times New Roman"/>
          <w:noProof/>
          <w:sz w:val="24"/>
          <w:szCs w:val="24"/>
          <w:lang w:val="en-GB" w:eastAsia="en-GB"/>
        </w:rPr>
      </w:pPr>
      <w:r>
        <w:rPr/>
        <w:fldChar w:fldCharType="begin"/>
      </w:r>
      <w:r>
        <w:instrText xml:space="preserve"> HYPERLINK \l "_Toc30487931" </w:instrText>
      </w:r>
      <w:r>
        <w:rPr/>
        <w:fldChar w:fldCharType="separate"/>
      </w:r>
      <w:r>
        <w:rPr>
          <w:rStyle w:val="style85"/>
          <w:rFonts w:ascii="Times New Roman" w:cs="Times New Roman" w:hAnsi="Times New Roman"/>
          <w:noProof/>
          <w:sz w:val="24"/>
          <w:szCs w:val="24"/>
        </w:rPr>
        <w:t>Current Compliance Requirements</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_Toc30487931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5</w:t>
      </w:r>
      <w:r>
        <w:rPr>
          <w:rFonts w:ascii="Times New Roman" w:cs="Times New Roman" w:hAnsi="Times New Roman"/>
          <w:noProof/>
          <w:webHidden/>
          <w:sz w:val="24"/>
          <w:szCs w:val="24"/>
        </w:rPr>
        <w:fldChar w:fldCharType="end"/>
      </w:r>
      <w:r>
        <w:rPr/>
        <w:fldChar w:fldCharType="end"/>
      </w:r>
    </w:p>
    <w:p>
      <w:pPr>
        <w:pStyle w:val="style20"/>
        <w:rPr>
          <w:rFonts w:ascii="Times New Roman" w:cs="Times New Roman" w:eastAsia="宋体" w:hAnsi="Times New Roman"/>
          <w:noProof/>
          <w:sz w:val="24"/>
          <w:szCs w:val="24"/>
          <w:lang w:val="en-GB" w:eastAsia="en-GB"/>
        </w:rPr>
      </w:pPr>
      <w:r>
        <w:rPr/>
        <w:fldChar w:fldCharType="begin"/>
      </w:r>
      <w:r>
        <w:instrText xml:space="preserve"> HYPERLINK \l "_Toc30487932" </w:instrText>
      </w:r>
      <w:r>
        <w:rPr/>
        <w:fldChar w:fldCharType="separate"/>
      </w:r>
      <w:r>
        <w:rPr>
          <w:rStyle w:val="style85"/>
          <w:rFonts w:ascii="Times New Roman" w:cs="Times New Roman" w:hAnsi="Times New Roman"/>
          <w:noProof/>
          <w:sz w:val="24"/>
          <w:szCs w:val="24"/>
        </w:rPr>
        <w:t>Internal Compliance Requirements</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_Toc30487932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5</w:t>
      </w:r>
      <w:r>
        <w:rPr>
          <w:rFonts w:ascii="Times New Roman" w:cs="Times New Roman" w:hAnsi="Times New Roman"/>
          <w:noProof/>
          <w:webHidden/>
          <w:sz w:val="24"/>
          <w:szCs w:val="24"/>
        </w:rPr>
        <w:fldChar w:fldCharType="end"/>
      </w:r>
      <w:r>
        <w:rPr/>
        <w:fldChar w:fldCharType="end"/>
      </w:r>
    </w:p>
    <w:p>
      <w:pPr>
        <w:pStyle w:val="style20"/>
        <w:rPr>
          <w:rFonts w:ascii="Times New Roman" w:cs="Times New Roman" w:eastAsia="宋体" w:hAnsi="Times New Roman"/>
          <w:noProof/>
          <w:sz w:val="24"/>
          <w:szCs w:val="24"/>
          <w:lang w:val="en-GB" w:eastAsia="en-GB"/>
        </w:rPr>
      </w:pPr>
      <w:r>
        <w:rPr/>
        <w:fldChar w:fldCharType="begin"/>
      </w:r>
      <w:r>
        <w:instrText xml:space="preserve"> HYPERLINK \l "_Toc30487933" </w:instrText>
      </w:r>
      <w:r>
        <w:rPr/>
        <w:fldChar w:fldCharType="separate"/>
      </w:r>
      <w:r>
        <w:rPr>
          <w:rStyle w:val="style85"/>
          <w:rFonts w:ascii="Times New Roman" w:cs="Times New Roman" w:hAnsi="Times New Roman"/>
          <w:noProof/>
          <w:sz w:val="24"/>
          <w:szCs w:val="24"/>
        </w:rPr>
        <w:t>External Compliance Requirements</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_Toc30487933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6</w:t>
      </w:r>
      <w:r>
        <w:rPr>
          <w:rFonts w:ascii="Times New Roman" w:cs="Times New Roman" w:hAnsi="Times New Roman"/>
          <w:noProof/>
          <w:webHidden/>
          <w:sz w:val="24"/>
          <w:szCs w:val="24"/>
        </w:rPr>
        <w:fldChar w:fldCharType="end"/>
      </w:r>
      <w:r>
        <w:rPr/>
        <w:fldChar w:fldCharType="end"/>
      </w:r>
    </w:p>
    <w:p>
      <w:pPr>
        <w:pStyle w:val="style21"/>
        <w:tabs>
          <w:tab w:val="right" w:leader="dot" w:pos="9628"/>
        </w:tabs>
        <w:rPr>
          <w:rFonts w:ascii="Times New Roman" w:cs="Times New Roman" w:eastAsia="宋体" w:hAnsi="Times New Roman"/>
          <w:noProof/>
          <w:sz w:val="24"/>
          <w:szCs w:val="24"/>
          <w:lang w:val="en-GB" w:eastAsia="en-GB"/>
        </w:rPr>
      </w:pPr>
      <w:r>
        <w:rPr/>
        <w:fldChar w:fldCharType="begin"/>
      </w:r>
      <w:r>
        <w:instrText xml:space="preserve"> HYPERLINK \l "_Toc30487934" </w:instrText>
      </w:r>
      <w:r>
        <w:rPr/>
        <w:fldChar w:fldCharType="separate"/>
      </w:r>
      <w:r>
        <w:rPr>
          <w:rStyle w:val="style85"/>
          <w:rFonts w:ascii="Times New Roman" w:cs="Times New Roman" w:hAnsi="Times New Roman"/>
          <w:noProof/>
          <w:sz w:val="24"/>
          <w:szCs w:val="24"/>
        </w:rPr>
        <w:t>ASIC requirements</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_Toc30487934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6</w:t>
      </w:r>
      <w:r>
        <w:rPr>
          <w:rFonts w:ascii="Times New Roman" w:cs="Times New Roman" w:hAnsi="Times New Roman"/>
          <w:noProof/>
          <w:webHidden/>
          <w:sz w:val="24"/>
          <w:szCs w:val="24"/>
        </w:rPr>
        <w:fldChar w:fldCharType="end"/>
      </w:r>
      <w:r>
        <w:rPr/>
        <w:fldChar w:fldCharType="end"/>
      </w:r>
    </w:p>
    <w:p>
      <w:pPr>
        <w:pStyle w:val="style21"/>
        <w:tabs>
          <w:tab w:val="right" w:leader="dot" w:pos="9628"/>
        </w:tabs>
        <w:rPr>
          <w:rFonts w:ascii="Times New Roman" w:cs="Times New Roman" w:eastAsia="宋体" w:hAnsi="Times New Roman"/>
          <w:noProof/>
          <w:sz w:val="24"/>
          <w:szCs w:val="24"/>
          <w:lang w:val="en-GB" w:eastAsia="en-GB"/>
        </w:rPr>
      </w:pPr>
      <w:r>
        <w:rPr/>
        <w:fldChar w:fldCharType="begin"/>
      </w:r>
      <w:r>
        <w:instrText xml:space="preserve"> HYPERLINK \l "_Toc30487935" </w:instrText>
      </w:r>
      <w:r>
        <w:rPr/>
        <w:fldChar w:fldCharType="separate"/>
      </w:r>
      <w:r>
        <w:rPr>
          <w:rStyle w:val="style85"/>
          <w:rFonts w:ascii="Times New Roman" w:cs="Times New Roman" w:hAnsi="Times New Roman"/>
          <w:noProof/>
          <w:sz w:val="24"/>
          <w:szCs w:val="24"/>
        </w:rPr>
        <w:t>GST bas regulations</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_Toc30487935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6</w:t>
      </w:r>
      <w:r>
        <w:rPr>
          <w:rFonts w:ascii="Times New Roman" w:cs="Times New Roman" w:hAnsi="Times New Roman"/>
          <w:noProof/>
          <w:webHidden/>
          <w:sz w:val="24"/>
          <w:szCs w:val="24"/>
        </w:rPr>
        <w:fldChar w:fldCharType="end"/>
      </w:r>
      <w:r>
        <w:rPr/>
        <w:fldChar w:fldCharType="end"/>
      </w:r>
    </w:p>
    <w:p>
      <w:pPr>
        <w:pStyle w:val="style21"/>
        <w:tabs>
          <w:tab w:val="right" w:leader="dot" w:pos="9628"/>
        </w:tabs>
        <w:rPr>
          <w:rFonts w:ascii="Times New Roman" w:cs="Times New Roman" w:eastAsia="宋体" w:hAnsi="Times New Roman"/>
          <w:noProof/>
          <w:sz w:val="24"/>
          <w:szCs w:val="24"/>
          <w:lang w:val="en-GB" w:eastAsia="en-GB"/>
        </w:rPr>
      </w:pPr>
      <w:r>
        <w:rPr/>
        <w:fldChar w:fldCharType="begin"/>
      </w:r>
      <w:r>
        <w:instrText xml:space="preserve"> HYPERLINK \l "_Toc30487936" </w:instrText>
      </w:r>
      <w:r>
        <w:rPr/>
        <w:fldChar w:fldCharType="separate"/>
      </w:r>
      <w:r>
        <w:rPr>
          <w:rStyle w:val="style85"/>
          <w:rFonts w:ascii="Times New Roman" w:cs="Times New Roman" w:hAnsi="Times New Roman"/>
          <w:noProof/>
          <w:sz w:val="24"/>
          <w:szCs w:val="24"/>
        </w:rPr>
        <w:t>Income tax act</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_Toc30487936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6</w:t>
      </w:r>
      <w:r>
        <w:rPr>
          <w:rFonts w:ascii="Times New Roman" w:cs="Times New Roman" w:hAnsi="Times New Roman"/>
          <w:noProof/>
          <w:webHidden/>
          <w:sz w:val="24"/>
          <w:szCs w:val="24"/>
        </w:rPr>
        <w:fldChar w:fldCharType="end"/>
      </w:r>
      <w:r>
        <w:rPr/>
        <w:fldChar w:fldCharType="end"/>
      </w:r>
    </w:p>
    <w:p>
      <w:pPr>
        <w:pStyle w:val="style21"/>
        <w:tabs>
          <w:tab w:val="right" w:leader="dot" w:pos="9628"/>
        </w:tabs>
        <w:rPr>
          <w:rFonts w:ascii="Times New Roman" w:cs="Times New Roman" w:eastAsia="宋体" w:hAnsi="Times New Roman"/>
          <w:noProof/>
          <w:sz w:val="24"/>
          <w:szCs w:val="24"/>
          <w:lang w:val="en-GB" w:eastAsia="en-GB"/>
        </w:rPr>
      </w:pPr>
      <w:r>
        <w:rPr/>
        <w:fldChar w:fldCharType="begin"/>
      </w:r>
      <w:r>
        <w:instrText xml:space="preserve"> HYPERLINK \l "_Toc30487937" </w:instrText>
      </w:r>
      <w:r>
        <w:rPr/>
        <w:fldChar w:fldCharType="separate"/>
      </w:r>
      <w:r>
        <w:rPr>
          <w:rStyle w:val="style85"/>
          <w:rFonts w:ascii="Times New Roman" w:cs="Times New Roman" w:hAnsi="Times New Roman"/>
          <w:noProof/>
          <w:sz w:val="24"/>
          <w:szCs w:val="24"/>
        </w:rPr>
        <w:t>Privacy law</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_Toc30487937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7</w:t>
      </w:r>
      <w:r>
        <w:rPr>
          <w:rFonts w:ascii="Times New Roman" w:cs="Times New Roman" w:hAnsi="Times New Roman"/>
          <w:noProof/>
          <w:webHidden/>
          <w:sz w:val="24"/>
          <w:szCs w:val="24"/>
        </w:rPr>
        <w:fldChar w:fldCharType="end"/>
      </w:r>
      <w:r>
        <w:rPr/>
        <w:fldChar w:fldCharType="end"/>
      </w:r>
    </w:p>
    <w:p>
      <w:pPr>
        <w:pStyle w:val="style20"/>
        <w:rPr>
          <w:rFonts w:ascii="Times New Roman" w:cs="Times New Roman" w:eastAsia="宋体" w:hAnsi="Times New Roman"/>
          <w:noProof/>
          <w:sz w:val="24"/>
          <w:szCs w:val="24"/>
          <w:lang w:val="en-GB" w:eastAsia="en-GB"/>
        </w:rPr>
      </w:pPr>
      <w:r>
        <w:rPr/>
        <w:fldChar w:fldCharType="begin"/>
      </w:r>
      <w:r>
        <w:instrText xml:space="preserve"> HYPERLINK \l "_Toc30487938" </w:instrText>
      </w:r>
      <w:r>
        <w:rPr/>
        <w:fldChar w:fldCharType="separate"/>
      </w:r>
      <w:r>
        <w:rPr>
          <w:rStyle w:val="style85"/>
          <w:rFonts w:ascii="Times New Roman" w:cs="Times New Roman" w:hAnsi="Times New Roman"/>
          <w:noProof/>
          <w:sz w:val="24"/>
          <w:szCs w:val="24"/>
        </w:rPr>
        <w:t>Industry Compliance Requirements</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_Toc30487938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7</w:t>
      </w:r>
      <w:r>
        <w:rPr>
          <w:rFonts w:ascii="Times New Roman" w:cs="Times New Roman" w:hAnsi="Times New Roman"/>
          <w:noProof/>
          <w:webHidden/>
          <w:sz w:val="24"/>
          <w:szCs w:val="24"/>
        </w:rPr>
        <w:fldChar w:fldCharType="end"/>
      </w:r>
      <w:r>
        <w:rPr/>
        <w:fldChar w:fldCharType="end"/>
      </w:r>
    </w:p>
    <w:p>
      <w:pPr>
        <w:pStyle w:val="style21"/>
        <w:tabs>
          <w:tab w:val="right" w:leader="dot" w:pos="9628"/>
        </w:tabs>
        <w:rPr>
          <w:rFonts w:ascii="Times New Roman" w:cs="Times New Roman" w:eastAsia="宋体" w:hAnsi="Times New Roman"/>
          <w:noProof/>
          <w:sz w:val="24"/>
          <w:szCs w:val="24"/>
          <w:lang w:val="en-GB" w:eastAsia="en-GB"/>
        </w:rPr>
      </w:pPr>
      <w:r>
        <w:rPr/>
        <w:fldChar w:fldCharType="begin"/>
      </w:r>
      <w:r>
        <w:instrText xml:space="preserve"> HYPERLINK \l "_Toc30487939" </w:instrText>
      </w:r>
      <w:r>
        <w:rPr/>
        <w:fldChar w:fldCharType="separate"/>
      </w:r>
      <w:r>
        <w:rPr>
          <w:rStyle w:val="style85"/>
          <w:rFonts w:ascii="Times New Roman" w:cs="Times New Roman" w:hAnsi="Times New Roman"/>
          <w:noProof/>
          <w:sz w:val="24"/>
          <w:szCs w:val="24"/>
        </w:rPr>
        <w:t>Collection Act</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_Toc30487939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7</w:t>
      </w:r>
      <w:r>
        <w:rPr>
          <w:rFonts w:ascii="Times New Roman" w:cs="Times New Roman" w:hAnsi="Times New Roman"/>
          <w:noProof/>
          <w:webHidden/>
          <w:sz w:val="24"/>
          <w:szCs w:val="24"/>
        </w:rPr>
        <w:fldChar w:fldCharType="end"/>
      </w:r>
      <w:r>
        <w:rPr/>
        <w:fldChar w:fldCharType="end"/>
      </w:r>
    </w:p>
    <w:p>
      <w:pPr>
        <w:pStyle w:val="style19"/>
        <w:rPr>
          <w:rFonts w:ascii="Times New Roman" w:cs="Times New Roman" w:eastAsia="宋体" w:hAnsi="Times New Roman"/>
          <w:noProof/>
          <w:sz w:val="24"/>
          <w:szCs w:val="24"/>
          <w:lang w:val="en-GB" w:eastAsia="en-GB"/>
        </w:rPr>
      </w:pPr>
      <w:r>
        <w:rPr/>
        <w:fldChar w:fldCharType="begin"/>
      </w:r>
      <w:r>
        <w:instrText xml:space="preserve"> HYPERLINK \l "_Toc30487940" </w:instrText>
      </w:r>
      <w:r>
        <w:rPr/>
        <w:fldChar w:fldCharType="separate"/>
      </w:r>
      <w:r>
        <w:rPr>
          <w:rStyle w:val="style85"/>
          <w:rFonts w:ascii="Times New Roman" w:cs="Times New Roman" w:hAnsi="Times New Roman"/>
          <w:noProof/>
          <w:sz w:val="24"/>
          <w:szCs w:val="24"/>
        </w:rPr>
        <w:t>3. Compliance Management</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_Toc30487940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7</w:t>
      </w:r>
      <w:r>
        <w:rPr>
          <w:rFonts w:ascii="Times New Roman" w:cs="Times New Roman" w:hAnsi="Times New Roman"/>
          <w:noProof/>
          <w:webHidden/>
          <w:sz w:val="24"/>
          <w:szCs w:val="24"/>
        </w:rPr>
        <w:fldChar w:fldCharType="end"/>
      </w:r>
      <w:r>
        <w:rPr/>
        <w:fldChar w:fldCharType="end"/>
      </w:r>
    </w:p>
    <w:p>
      <w:pPr>
        <w:pStyle w:val="style20"/>
        <w:rPr>
          <w:rFonts w:ascii="Times New Roman" w:cs="Times New Roman" w:eastAsia="宋体" w:hAnsi="Times New Roman"/>
          <w:noProof/>
          <w:sz w:val="24"/>
          <w:szCs w:val="24"/>
          <w:lang w:val="en-GB" w:eastAsia="en-GB"/>
        </w:rPr>
      </w:pPr>
      <w:r>
        <w:rPr/>
        <w:fldChar w:fldCharType="begin"/>
      </w:r>
      <w:r>
        <w:instrText xml:space="preserve"> HYPERLINK \l "_Toc30487941" </w:instrText>
      </w:r>
      <w:r>
        <w:rPr/>
        <w:fldChar w:fldCharType="separate"/>
      </w:r>
      <w:r>
        <w:rPr>
          <w:rStyle w:val="style85"/>
          <w:rFonts w:ascii="Times New Roman" w:cs="Times New Roman" w:hAnsi="Times New Roman"/>
          <w:noProof/>
          <w:sz w:val="24"/>
          <w:szCs w:val="24"/>
        </w:rPr>
        <w:t>a.) Areas Most Affected</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_Toc30487941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7</w:t>
      </w:r>
      <w:r>
        <w:rPr>
          <w:rFonts w:ascii="Times New Roman" w:cs="Times New Roman" w:hAnsi="Times New Roman"/>
          <w:noProof/>
          <w:webHidden/>
          <w:sz w:val="24"/>
          <w:szCs w:val="24"/>
        </w:rPr>
        <w:fldChar w:fldCharType="end"/>
      </w:r>
      <w:r>
        <w:rPr/>
        <w:fldChar w:fldCharType="end"/>
      </w:r>
    </w:p>
    <w:p>
      <w:pPr>
        <w:pStyle w:val="style20"/>
        <w:rPr>
          <w:rFonts w:ascii="Times New Roman" w:cs="Times New Roman" w:eastAsia="宋体" w:hAnsi="Times New Roman"/>
          <w:noProof/>
          <w:sz w:val="24"/>
          <w:szCs w:val="24"/>
          <w:lang w:val="en-GB" w:eastAsia="en-GB"/>
        </w:rPr>
      </w:pPr>
      <w:r>
        <w:rPr/>
        <w:fldChar w:fldCharType="begin"/>
      </w:r>
      <w:r>
        <w:instrText xml:space="preserve"> HYPERLINK \l "_Toc30487942" </w:instrText>
      </w:r>
      <w:r>
        <w:rPr/>
        <w:fldChar w:fldCharType="separate"/>
      </w:r>
      <w:r>
        <w:rPr>
          <w:rStyle w:val="style85"/>
          <w:rFonts w:ascii="Times New Roman" w:cs="Times New Roman" w:hAnsi="Times New Roman"/>
          <w:noProof/>
          <w:sz w:val="24"/>
          <w:szCs w:val="24"/>
        </w:rPr>
        <w:t>b.) Risks Involved</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_Toc30487942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8</w:t>
      </w:r>
      <w:r>
        <w:rPr>
          <w:rFonts w:ascii="Times New Roman" w:cs="Times New Roman" w:hAnsi="Times New Roman"/>
          <w:noProof/>
          <w:webHidden/>
          <w:sz w:val="24"/>
          <w:szCs w:val="24"/>
        </w:rPr>
        <w:fldChar w:fldCharType="end"/>
      </w:r>
      <w:r>
        <w:rPr/>
        <w:fldChar w:fldCharType="end"/>
      </w:r>
    </w:p>
    <w:p>
      <w:pPr>
        <w:pStyle w:val="style20"/>
        <w:rPr>
          <w:rFonts w:ascii="Times New Roman" w:cs="Times New Roman" w:eastAsia="宋体" w:hAnsi="Times New Roman"/>
          <w:noProof/>
          <w:sz w:val="24"/>
          <w:szCs w:val="24"/>
          <w:lang w:val="en-GB" w:eastAsia="en-GB"/>
        </w:rPr>
      </w:pPr>
      <w:r>
        <w:rPr/>
        <w:fldChar w:fldCharType="begin"/>
      </w:r>
      <w:r>
        <w:instrText xml:space="preserve"> HYPERLINK \l "_Toc30487943" </w:instrText>
      </w:r>
      <w:r>
        <w:rPr/>
        <w:fldChar w:fldCharType="separate"/>
      </w:r>
      <w:r>
        <w:rPr>
          <w:rStyle w:val="style85"/>
          <w:rFonts w:ascii="Times New Roman" w:cs="Times New Roman" w:hAnsi="Times New Roman"/>
          <w:noProof/>
          <w:sz w:val="24"/>
          <w:szCs w:val="24"/>
        </w:rPr>
        <w:t>c.) Breaches and Penalties Applicable</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_Toc30487943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8</w:t>
      </w:r>
      <w:r>
        <w:rPr>
          <w:rFonts w:ascii="Times New Roman" w:cs="Times New Roman" w:hAnsi="Times New Roman"/>
          <w:noProof/>
          <w:webHidden/>
          <w:sz w:val="24"/>
          <w:szCs w:val="24"/>
        </w:rPr>
        <w:fldChar w:fldCharType="end"/>
      </w:r>
      <w:r>
        <w:rPr/>
        <w:fldChar w:fldCharType="end"/>
      </w:r>
    </w:p>
    <w:p>
      <w:pPr>
        <w:pStyle w:val="style20"/>
        <w:rPr>
          <w:rFonts w:ascii="Times New Roman" w:cs="Times New Roman" w:eastAsia="宋体" w:hAnsi="Times New Roman"/>
          <w:noProof/>
          <w:sz w:val="24"/>
          <w:szCs w:val="24"/>
          <w:lang w:val="en-GB" w:eastAsia="en-GB"/>
        </w:rPr>
      </w:pPr>
      <w:r>
        <w:rPr/>
        <w:fldChar w:fldCharType="begin"/>
      </w:r>
      <w:r>
        <w:instrText xml:space="preserve"> HYPERLINK \l "_Toc30487944" </w:instrText>
      </w:r>
      <w:r>
        <w:rPr/>
        <w:fldChar w:fldCharType="separate"/>
      </w:r>
      <w:r>
        <w:rPr>
          <w:rStyle w:val="style85"/>
          <w:rFonts w:ascii="Times New Roman" w:cs="Times New Roman" w:hAnsi="Times New Roman"/>
          <w:noProof/>
          <w:sz w:val="24"/>
          <w:szCs w:val="24"/>
        </w:rPr>
        <w:t>d.) Risk Mitigation</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_Toc30487944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8</w:t>
      </w:r>
      <w:r>
        <w:rPr>
          <w:rFonts w:ascii="Times New Roman" w:cs="Times New Roman" w:hAnsi="Times New Roman"/>
          <w:noProof/>
          <w:webHidden/>
          <w:sz w:val="24"/>
          <w:szCs w:val="24"/>
        </w:rPr>
        <w:fldChar w:fldCharType="end"/>
      </w:r>
      <w:r>
        <w:rPr/>
        <w:fldChar w:fldCharType="end"/>
      </w:r>
    </w:p>
    <w:p>
      <w:pPr>
        <w:pStyle w:val="style19"/>
        <w:rPr>
          <w:rFonts w:ascii="Times New Roman" w:cs="Times New Roman" w:eastAsia="宋体" w:hAnsi="Times New Roman"/>
          <w:noProof/>
          <w:sz w:val="24"/>
          <w:szCs w:val="24"/>
          <w:lang w:val="en-GB" w:eastAsia="en-GB"/>
        </w:rPr>
      </w:pPr>
      <w:r>
        <w:rPr/>
        <w:fldChar w:fldCharType="begin"/>
      </w:r>
      <w:r>
        <w:instrText xml:space="preserve"> HYPERLINK \l "_Toc30487945" </w:instrText>
      </w:r>
      <w:r>
        <w:rPr/>
        <w:fldChar w:fldCharType="separate"/>
      </w:r>
      <w:r>
        <w:rPr>
          <w:rStyle w:val="style85"/>
          <w:rFonts w:ascii="Times New Roman" w:cs="Times New Roman" w:hAnsi="Times New Roman"/>
          <w:noProof/>
          <w:sz w:val="24"/>
          <w:szCs w:val="24"/>
        </w:rPr>
        <w:t>Comparison of Available Compliance Management Systems</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_Toc30487945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9</w:t>
      </w:r>
      <w:r>
        <w:rPr>
          <w:rFonts w:ascii="Times New Roman" w:cs="Times New Roman" w:hAnsi="Times New Roman"/>
          <w:noProof/>
          <w:webHidden/>
          <w:sz w:val="24"/>
          <w:szCs w:val="24"/>
        </w:rPr>
        <w:fldChar w:fldCharType="end"/>
      </w:r>
      <w:r>
        <w:rPr/>
        <w:fldChar w:fldCharType="end"/>
      </w:r>
    </w:p>
    <w:p>
      <w:pPr>
        <w:pStyle w:val="style20"/>
        <w:rPr>
          <w:rFonts w:ascii="Times New Roman" w:cs="Times New Roman" w:eastAsia="宋体" w:hAnsi="Times New Roman"/>
          <w:noProof/>
          <w:sz w:val="24"/>
          <w:szCs w:val="24"/>
          <w:lang w:val="en-GB" w:eastAsia="en-GB"/>
        </w:rPr>
      </w:pPr>
      <w:r>
        <w:rPr/>
        <w:fldChar w:fldCharType="begin"/>
      </w:r>
      <w:r>
        <w:instrText xml:space="preserve"> HYPERLINK \l "_Toc30487946" </w:instrText>
      </w:r>
      <w:r>
        <w:rPr/>
        <w:fldChar w:fldCharType="separate"/>
      </w:r>
      <w:r>
        <w:rPr>
          <w:rStyle w:val="style85"/>
          <w:rFonts w:ascii="Times New Roman" w:cs="Times New Roman" w:hAnsi="Times New Roman"/>
          <w:noProof/>
          <w:sz w:val="24"/>
          <w:szCs w:val="24"/>
        </w:rPr>
        <w:t>a.) Available Compliance Systems</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_Toc30487946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9</w:t>
      </w:r>
      <w:r>
        <w:rPr>
          <w:rFonts w:ascii="Times New Roman" w:cs="Times New Roman" w:hAnsi="Times New Roman"/>
          <w:noProof/>
          <w:webHidden/>
          <w:sz w:val="24"/>
          <w:szCs w:val="24"/>
        </w:rPr>
        <w:fldChar w:fldCharType="end"/>
      </w:r>
      <w:r>
        <w:rPr/>
        <w:fldChar w:fldCharType="end"/>
      </w:r>
    </w:p>
    <w:p>
      <w:pPr>
        <w:pStyle w:val="style20"/>
        <w:rPr>
          <w:rFonts w:ascii="Times New Roman" w:cs="Times New Roman" w:eastAsia="宋体" w:hAnsi="Times New Roman"/>
          <w:noProof/>
          <w:sz w:val="24"/>
          <w:szCs w:val="24"/>
          <w:lang w:val="en-GB" w:eastAsia="en-GB"/>
        </w:rPr>
      </w:pPr>
      <w:r>
        <w:rPr/>
        <w:fldChar w:fldCharType="begin"/>
      </w:r>
      <w:r>
        <w:instrText xml:space="preserve"> HYPERLINK \l "_Toc30487947" </w:instrText>
      </w:r>
      <w:r>
        <w:rPr/>
        <w:fldChar w:fldCharType="separate"/>
      </w:r>
      <w:r>
        <w:rPr>
          <w:rStyle w:val="style85"/>
          <w:rFonts w:ascii="Times New Roman" w:cs="Times New Roman" w:hAnsi="Times New Roman"/>
          <w:noProof/>
          <w:sz w:val="24"/>
          <w:szCs w:val="24"/>
        </w:rPr>
        <w:t>b.) Comparison of Available Compliance Systems</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_Toc30487947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9</w:t>
      </w:r>
      <w:r>
        <w:rPr>
          <w:rFonts w:ascii="Times New Roman" w:cs="Times New Roman" w:hAnsi="Times New Roman"/>
          <w:noProof/>
          <w:webHidden/>
          <w:sz w:val="24"/>
          <w:szCs w:val="24"/>
        </w:rPr>
        <w:fldChar w:fldCharType="end"/>
      </w:r>
      <w:r>
        <w:rPr/>
        <w:fldChar w:fldCharType="end"/>
      </w:r>
    </w:p>
    <w:p>
      <w:pPr>
        <w:pStyle w:val="style19"/>
        <w:rPr>
          <w:rFonts w:ascii="Times New Roman" w:cs="Times New Roman" w:eastAsia="宋体" w:hAnsi="Times New Roman"/>
          <w:noProof/>
          <w:sz w:val="24"/>
          <w:szCs w:val="24"/>
          <w:lang w:val="en-GB" w:eastAsia="en-GB"/>
        </w:rPr>
      </w:pPr>
      <w:r>
        <w:rPr/>
        <w:fldChar w:fldCharType="begin"/>
      </w:r>
      <w:r>
        <w:instrText xml:space="preserve"> HYPERLINK \l "_Toc30487948" </w:instrText>
      </w:r>
      <w:r>
        <w:rPr/>
        <w:fldChar w:fldCharType="separate"/>
      </w:r>
      <w:r>
        <w:rPr>
          <w:rStyle w:val="style85"/>
          <w:rFonts w:ascii="Times New Roman" w:cs="Times New Roman" w:hAnsi="Times New Roman"/>
          <w:noProof/>
          <w:sz w:val="24"/>
          <w:szCs w:val="24"/>
        </w:rPr>
        <w:t>5.) Research Process</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_Toc30487948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10</w:t>
      </w:r>
      <w:r>
        <w:rPr>
          <w:rFonts w:ascii="Times New Roman" w:cs="Times New Roman" w:hAnsi="Times New Roman"/>
          <w:noProof/>
          <w:webHidden/>
          <w:sz w:val="24"/>
          <w:szCs w:val="24"/>
        </w:rPr>
        <w:fldChar w:fldCharType="end"/>
      </w:r>
      <w:r>
        <w:rPr/>
        <w:fldChar w:fldCharType="end"/>
      </w:r>
    </w:p>
    <w:p>
      <w:pPr>
        <w:pStyle w:val="style20"/>
        <w:rPr>
          <w:rFonts w:ascii="Times New Roman" w:cs="Times New Roman" w:eastAsia="宋体" w:hAnsi="Times New Roman"/>
          <w:noProof/>
          <w:sz w:val="24"/>
          <w:szCs w:val="24"/>
          <w:lang w:val="en-GB" w:eastAsia="en-GB"/>
        </w:rPr>
      </w:pPr>
      <w:r>
        <w:rPr/>
        <w:fldChar w:fldCharType="begin"/>
      </w:r>
      <w:r>
        <w:instrText xml:space="preserve"> HYPERLINK \l "_Toc30487949" </w:instrText>
      </w:r>
      <w:r>
        <w:rPr/>
        <w:fldChar w:fldCharType="separate"/>
      </w:r>
      <w:r>
        <w:rPr>
          <w:rStyle w:val="style85"/>
          <w:rFonts w:ascii="Times New Roman" w:cs="Times New Roman" w:hAnsi="Times New Roman"/>
          <w:noProof/>
          <w:sz w:val="24"/>
          <w:szCs w:val="24"/>
        </w:rPr>
        <w:t>a.) Type of research</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_Toc30487949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10</w:t>
      </w:r>
      <w:r>
        <w:rPr>
          <w:rFonts w:ascii="Times New Roman" w:cs="Times New Roman" w:hAnsi="Times New Roman"/>
          <w:noProof/>
          <w:webHidden/>
          <w:sz w:val="24"/>
          <w:szCs w:val="24"/>
        </w:rPr>
        <w:fldChar w:fldCharType="end"/>
      </w:r>
      <w:r>
        <w:rPr/>
        <w:fldChar w:fldCharType="end"/>
      </w:r>
    </w:p>
    <w:p>
      <w:pPr>
        <w:pStyle w:val="style20"/>
        <w:rPr>
          <w:rFonts w:ascii="Times New Roman" w:cs="Times New Roman" w:eastAsia="宋体" w:hAnsi="Times New Roman"/>
          <w:noProof/>
          <w:sz w:val="24"/>
          <w:szCs w:val="24"/>
          <w:lang w:val="en-GB" w:eastAsia="en-GB"/>
        </w:rPr>
      </w:pPr>
      <w:r>
        <w:rPr/>
        <w:fldChar w:fldCharType="begin"/>
      </w:r>
      <w:r>
        <w:instrText xml:space="preserve"> HYPERLINK \l "_Toc30487950" </w:instrText>
      </w:r>
      <w:r>
        <w:rPr/>
        <w:fldChar w:fldCharType="separate"/>
      </w:r>
      <w:r>
        <w:rPr>
          <w:rStyle w:val="style85"/>
          <w:rFonts w:ascii="Times New Roman" w:cs="Times New Roman" w:hAnsi="Times New Roman"/>
          <w:noProof/>
          <w:sz w:val="24"/>
          <w:szCs w:val="24"/>
        </w:rPr>
        <w:t>b.) Development of research plan</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_Toc30487950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10</w:t>
      </w:r>
      <w:r>
        <w:rPr>
          <w:rFonts w:ascii="Times New Roman" w:cs="Times New Roman" w:hAnsi="Times New Roman"/>
          <w:noProof/>
          <w:webHidden/>
          <w:sz w:val="24"/>
          <w:szCs w:val="24"/>
        </w:rPr>
        <w:fldChar w:fldCharType="end"/>
      </w:r>
      <w:r>
        <w:rPr/>
        <w:fldChar w:fldCharType="end"/>
      </w:r>
    </w:p>
    <w:p>
      <w:pPr>
        <w:pStyle w:val="style19"/>
        <w:rPr>
          <w:rFonts w:ascii="Times New Roman" w:cs="Times New Roman" w:eastAsia="宋体" w:hAnsi="Times New Roman"/>
          <w:noProof/>
          <w:sz w:val="24"/>
          <w:szCs w:val="24"/>
          <w:lang w:val="en-GB" w:eastAsia="en-GB"/>
        </w:rPr>
      </w:pPr>
      <w:r>
        <w:rPr/>
        <w:fldChar w:fldCharType="begin"/>
      </w:r>
      <w:r>
        <w:instrText xml:space="preserve"> HYPERLINK \l "_Toc30487951" </w:instrText>
      </w:r>
      <w:r>
        <w:rPr/>
        <w:fldChar w:fldCharType="separate"/>
      </w:r>
      <w:r>
        <w:rPr>
          <w:rStyle w:val="style85"/>
          <w:rFonts w:ascii="Times New Roman" w:cs="Times New Roman" w:hAnsi="Times New Roman"/>
          <w:noProof/>
          <w:sz w:val="24"/>
          <w:szCs w:val="24"/>
        </w:rPr>
        <w:t>Analysis and Interpretation of data</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_Toc30487951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10</w:t>
      </w:r>
      <w:r>
        <w:rPr>
          <w:rFonts w:ascii="Times New Roman" w:cs="Times New Roman" w:hAnsi="Times New Roman"/>
          <w:noProof/>
          <w:webHidden/>
          <w:sz w:val="24"/>
          <w:szCs w:val="24"/>
        </w:rPr>
        <w:fldChar w:fldCharType="end"/>
      </w:r>
      <w:r>
        <w:rPr/>
        <w:fldChar w:fldCharType="end"/>
      </w:r>
    </w:p>
    <w:p>
      <w:pPr>
        <w:pStyle w:val="style20"/>
        <w:rPr>
          <w:rFonts w:ascii="Times New Roman" w:cs="Times New Roman" w:eastAsia="宋体" w:hAnsi="Times New Roman"/>
          <w:noProof/>
          <w:sz w:val="24"/>
          <w:szCs w:val="24"/>
          <w:lang w:val="en-GB" w:eastAsia="en-GB"/>
        </w:rPr>
      </w:pPr>
      <w:r>
        <w:rPr/>
        <w:fldChar w:fldCharType="begin"/>
      </w:r>
      <w:r>
        <w:instrText xml:space="preserve"> HYPERLINK \l "_Toc30487952" </w:instrText>
      </w:r>
      <w:r>
        <w:rPr/>
        <w:fldChar w:fldCharType="separate"/>
      </w:r>
      <w:r>
        <w:rPr>
          <w:rStyle w:val="style85"/>
          <w:rFonts w:ascii="Times New Roman" w:cs="Times New Roman" w:eastAsia="Times New Roman" w:hAnsi="Times New Roman"/>
          <w:noProof/>
          <w:sz w:val="24"/>
          <w:szCs w:val="24"/>
          <w:lang w:eastAsia="en-GB"/>
        </w:rPr>
        <w:t>Dissemination of results</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_Toc30487952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11</w:t>
      </w:r>
      <w:r>
        <w:rPr>
          <w:rFonts w:ascii="Times New Roman" w:cs="Times New Roman" w:hAnsi="Times New Roman"/>
          <w:noProof/>
          <w:webHidden/>
          <w:sz w:val="24"/>
          <w:szCs w:val="24"/>
        </w:rPr>
        <w:fldChar w:fldCharType="end"/>
      </w:r>
      <w:r>
        <w:rPr/>
        <w:fldChar w:fldCharType="end"/>
      </w:r>
    </w:p>
    <w:p>
      <w:pPr>
        <w:pStyle w:val="style20"/>
        <w:rPr>
          <w:rFonts w:ascii="Times New Roman" w:cs="Times New Roman" w:eastAsia="宋体" w:hAnsi="Times New Roman"/>
          <w:noProof/>
          <w:sz w:val="24"/>
          <w:szCs w:val="24"/>
          <w:lang w:val="en-GB" w:eastAsia="en-GB"/>
        </w:rPr>
      </w:pPr>
      <w:r>
        <w:rPr/>
        <w:fldChar w:fldCharType="begin"/>
      </w:r>
      <w:r>
        <w:instrText xml:space="preserve"> HYPERLINK \l "_Toc30487953" </w:instrText>
      </w:r>
      <w:r>
        <w:rPr/>
        <w:fldChar w:fldCharType="separate"/>
      </w:r>
      <w:r>
        <w:rPr>
          <w:rStyle w:val="style85"/>
          <w:rFonts w:ascii="Times New Roman" w:cs="Times New Roman" w:eastAsia="Times New Roman" w:hAnsi="Times New Roman"/>
          <w:noProof/>
          <w:sz w:val="24"/>
          <w:szCs w:val="24"/>
          <w:lang w:eastAsia="en-GB"/>
        </w:rPr>
        <w:t>Development of survey tools</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_Toc30487953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11</w:t>
      </w:r>
      <w:r>
        <w:rPr>
          <w:rFonts w:ascii="Times New Roman" w:cs="Times New Roman" w:hAnsi="Times New Roman"/>
          <w:noProof/>
          <w:webHidden/>
          <w:sz w:val="24"/>
          <w:szCs w:val="24"/>
        </w:rPr>
        <w:fldChar w:fldCharType="end"/>
      </w:r>
      <w:r>
        <w:rPr/>
        <w:fldChar w:fldCharType="end"/>
      </w:r>
    </w:p>
    <w:p>
      <w:pPr>
        <w:pStyle w:val="style19"/>
        <w:rPr>
          <w:rFonts w:ascii="Times New Roman" w:cs="Times New Roman" w:eastAsia="宋体" w:hAnsi="Times New Roman"/>
          <w:noProof/>
          <w:sz w:val="24"/>
          <w:szCs w:val="24"/>
          <w:lang w:val="en-GB" w:eastAsia="en-GB"/>
        </w:rPr>
      </w:pPr>
      <w:r>
        <w:rPr/>
        <w:fldChar w:fldCharType="begin"/>
      </w:r>
      <w:r>
        <w:instrText xml:space="preserve"> HYPERLINK \l "_Toc30487954" </w:instrText>
      </w:r>
      <w:r>
        <w:rPr/>
        <w:fldChar w:fldCharType="separate"/>
      </w:r>
      <w:r>
        <w:rPr>
          <w:rStyle w:val="style85"/>
          <w:rFonts w:ascii="Times New Roman" w:cs="Times New Roman" w:eastAsia="Times New Roman" w:hAnsi="Times New Roman"/>
          <w:noProof/>
          <w:sz w:val="24"/>
          <w:szCs w:val="24"/>
          <w:lang w:eastAsia="en-GB"/>
        </w:rPr>
        <w:t>Recommendations</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_Toc30487954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11</w:t>
      </w:r>
      <w:r>
        <w:rPr>
          <w:rFonts w:ascii="Times New Roman" w:cs="Times New Roman" w:hAnsi="Times New Roman"/>
          <w:noProof/>
          <w:webHidden/>
          <w:sz w:val="24"/>
          <w:szCs w:val="24"/>
        </w:rPr>
        <w:fldChar w:fldCharType="end"/>
      </w:r>
      <w:r>
        <w:rPr/>
        <w:fldChar w:fldCharType="end"/>
      </w:r>
    </w:p>
    <w:p>
      <w:pPr>
        <w:pStyle w:val="style19"/>
        <w:rPr>
          <w:rFonts w:ascii="Times New Roman" w:cs="Times New Roman" w:eastAsia="宋体" w:hAnsi="Times New Roman"/>
          <w:noProof/>
          <w:sz w:val="24"/>
          <w:szCs w:val="24"/>
          <w:lang w:val="en-GB" w:eastAsia="en-GB"/>
        </w:rPr>
      </w:pPr>
      <w:r>
        <w:rPr/>
        <w:fldChar w:fldCharType="begin"/>
      </w:r>
      <w:r>
        <w:instrText xml:space="preserve"> HYPERLINK \l "_Toc30487955" </w:instrText>
      </w:r>
      <w:r>
        <w:rPr/>
        <w:fldChar w:fldCharType="separate"/>
      </w:r>
      <w:r>
        <w:rPr>
          <w:rStyle w:val="style85"/>
          <w:rFonts w:ascii="Times New Roman" w:cs="Times New Roman" w:hAnsi="Times New Roman"/>
          <w:noProof/>
          <w:sz w:val="24"/>
          <w:szCs w:val="24"/>
        </w:rPr>
        <w:t>Reference</w:t>
      </w:r>
      <w:r>
        <w:rPr>
          <w:rFonts w:ascii="Times New Roman" w:cs="Times New Roman" w:hAnsi="Times New Roman"/>
          <w:noProof/>
          <w:webHidden/>
          <w:sz w:val="24"/>
          <w:szCs w:val="24"/>
        </w:rPr>
        <w:tab/>
      </w:r>
      <w:r>
        <w:rPr>
          <w:rFonts w:ascii="Times New Roman" w:cs="Times New Roman" w:hAnsi="Times New Roman"/>
          <w:noProof/>
          <w:webHidden/>
          <w:sz w:val="24"/>
          <w:szCs w:val="24"/>
        </w:rPr>
        <w:fldChar w:fldCharType="begin"/>
      </w:r>
      <w:r>
        <w:rPr>
          <w:rFonts w:ascii="Times New Roman" w:cs="Times New Roman" w:hAnsi="Times New Roman"/>
          <w:noProof/>
          <w:webHidden/>
          <w:sz w:val="24"/>
          <w:szCs w:val="24"/>
        </w:rPr>
        <w:instrText xml:space="preserve"> PAGEREF _Toc30487955 \h </w:instrText>
      </w:r>
      <w:r>
        <w:rPr>
          <w:rFonts w:ascii="Times New Roman" w:cs="Times New Roman" w:hAnsi="Times New Roman"/>
          <w:noProof/>
          <w:webHidden/>
          <w:sz w:val="24"/>
          <w:szCs w:val="24"/>
        </w:rPr>
        <w:fldChar w:fldCharType="separate"/>
      </w:r>
      <w:r>
        <w:rPr>
          <w:rFonts w:ascii="Times New Roman" w:cs="Times New Roman" w:hAnsi="Times New Roman"/>
          <w:noProof/>
          <w:webHidden/>
          <w:sz w:val="24"/>
          <w:szCs w:val="24"/>
        </w:rPr>
        <w:t>13</w:t>
      </w:r>
      <w:r>
        <w:rPr>
          <w:rFonts w:ascii="Times New Roman" w:cs="Times New Roman" w:hAnsi="Times New Roman"/>
          <w:noProof/>
          <w:webHidden/>
          <w:sz w:val="24"/>
          <w:szCs w:val="24"/>
        </w:rPr>
        <w:fldChar w:fldCharType="end"/>
      </w:r>
      <w:r>
        <w:rPr/>
        <w:fldChar w:fldCharType="end"/>
      </w:r>
    </w:p>
    <w:p>
      <w:pPr>
        <w:pStyle w:val="style0"/>
        <w:spacing w:after="0" w:lineRule="auto" w:line="240"/>
        <w:rPr>
          <w:rFonts w:ascii="Times New Roman" w:cs="Times New Roman" w:hAnsi="Times New Roman"/>
          <w:b/>
          <w:bCs/>
          <w:noProof/>
          <w:sz w:val="24"/>
          <w:szCs w:val="24"/>
        </w:rPr>
      </w:pPr>
      <w:r>
        <w:rPr>
          <w:rFonts w:ascii="Times New Roman" w:cs="Times New Roman" w:hAnsi="Times New Roman"/>
          <w:b/>
          <w:bCs/>
          <w:noProof/>
          <w:sz w:val="24"/>
          <w:szCs w:val="24"/>
        </w:rPr>
        <w:fldChar w:fldCharType="end"/>
      </w:r>
    </w:p>
    <w:p>
      <w:pPr>
        <w:pStyle w:val="style0"/>
        <w:tabs>
          <w:tab w:val="left" w:leader="none" w:pos="5256"/>
        </w:tabs>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br w:type="column"/>
      </w:r>
      <w:bookmarkStart w:id="3" w:name="_Toc360874524"/>
      <w:bookmarkEnd w:id="2"/>
      <w:r>
        <w:rPr>
          <w:rFonts w:ascii="Times New Roman" w:cs="Times New Roman" w:hAnsi="Times New Roman"/>
          <w:sz w:val="24"/>
          <w:szCs w:val="24"/>
        </w:rPr>
        <w:t>Compliance Management System</w:t>
      </w:r>
    </w:p>
    <w:bookmarkStart w:id="4" w:name="_Toc30487931"/>
    <w:p>
      <w:pPr>
        <w:pStyle w:val="style1"/>
        <w:spacing w:before="0" w:lineRule="auto" w:line="480"/>
        <w:jc w:val="center"/>
        <w:rPr>
          <w:rFonts w:ascii="Times New Roman" w:cs="Times New Roman" w:hAnsi="Times New Roman"/>
          <w:color w:val="auto"/>
          <w:sz w:val="24"/>
          <w:szCs w:val="24"/>
        </w:rPr>
      </w:pPr>
      <w:r>
        <w:rPr>
          <w:rFonts w:ascii="Times New Roman" w:cs="Times New Roman" w:hAnsi="Times New Roman"/>
          <w:color w:val="auto"/>
          <w:sz w:val="24"/>
          <w:szCs w:val="24"/>
        </w:rPr>
        <w:t>Current Compliance Requirements</w:t>
      </w:r>
      <w:bookmarkEnd w:id="4"/>
    </w:p>
    <w:bookmarkStart w:id="5" w:name="_Toc30487932"/>
    <w:p>
      <w:pPr>
        <w:pStyle w:val="style2"/>
        <w:spacing w:before="0" w:lineRule="auto" w:line="480"/>
        <w:rPr>
          <w:rFonts w:ascii="Times New Roman" w:cs="Times New Roman" w:hAnsi="Times New Roman"/>
          <w:color w:val="auto"/>
          <w:sz w:val="24"/>
          <w:szCs w:val="24"/>
        </w:rPr>
      </w:pPr>
      <w:r>
        <w:rPr>
          <w:rFonts w:ascii="Times New Roman" w:cs="Times New Roman" w:hAnsi="Times New Roman"/>
          <w:color w:val="auto"/>
          <w:sz w:val="24"/>
          <w:szCs w:val="24"/>
        </w:rPr>
        <w:t>Internal Compliance Requirements</w:t>
      </w:r>
      <w:bookmarkEnd w:id="5"/>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Establishing a compliance system in the organization ensures that the firm is designed to keep its practices on the right side of regulations and operational laws. In Charity Care, the compliance system will help to get control over its practices. Without it, Charity Care would not measure or track its compliance. The following are the internal requirements in Charity Care:</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Risk Management Policy-Risk management policy compliance will help Charity Care earn the trust of the key partners, especially the donors. With the current system in Charity Care, it is clear from the policy management perspective that the company lacks an effective complaint system. Risk management policy compliance shows that the organization abides by the rules and regulations that address the consumer complaints promptly and the operations are managed smoothly.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Sexual management policy-Every organization requires understanding the staff and consumer/client regulations including sexual management policies. Charity Care works with vulnerable groups, especially those who come from low socio-economic backgrounds, which makes them vulnerable to sexual exploitation.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Credit card policy-With the current technological advancement, fraud, and cyber-crime issues have increased rapidly. Therefore, establishing a credit card policy compliance system will ensure that clients who prefer to engage in e-business are protected.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Equal employment opportunities policy-The United States government requires that every individual be given equal opportunity in the workplace irrespective of gender, age, or ethnicity. Equal employment opportunity compliance will ensure that Charity Care hires staff on merit and no other parameter.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Work health and safety policy- It is the employer’s responsibility to ensure that their workplace is safe for the staff. This compliance requirement will ensure that the Charity Care staff feels safe at work.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Finance handling policy-Based on the current financial handling system in Charity Care, it is right to say that the organization is misusing the financial resources. Compliance with financial handling will help attract donors because the managers will have proof to show how they have been handling the financial resources allocated to them. </w:t>
      </w:r>
    </w:p>
    <w:bookmarkStart w:id="6" w:name="_Toc30487933"/>
    <w:p>
      <w:pPr>
        <w:pStyle w:val="style2"/>
        <w:spacing w:before="0" w:lineRule="auto" w:line="480"/>
        <w:rPr>
          <w:rFonts w:ascii="Times New Roman" w:cs="Times New Roman" w:hAnsi="Times New Roman"/>
          <w:color w:val="auto"/>
          <w:sz w:val="24"/>
          <w:szCs w:val="24"/>
        </w:rPr>
      </w:pPr>
      <w:r>
        <w:rPr>
          <w:rFonts w:ascii="Times New Roman" w:cs="Times New Roman" w:hAnsi="Times New Roman"/>
          <w:color w:val="auto"/>
          <w:sz w:val="24"/>
          <w:szCs w:val="24"/>
        </w:rPr>
        <w:t>External Compliance Requirements</w:t>
      </w:r>
      <w:bookmarkEnd w:id="6"/>
    </w:p>
    <w:bookmarkStart w:id="7" w:name="_Toc30487934"/>
    <w:p>
      <w:pPr>
        <w:pStyle w:val="style3"/>
        <w:spacing w:before="0" w:lineRule="auto" w:line="480"/>
        <w:rPr>
          <w:rFonts w:ascii="Times New Roman" w:cs="Times New Roman" w:hAnsi="Times New Roman"/>
          <w:color w:val="auto"/>
          <w:sz w:val="24"/>
          <w:szCs w:val="24"/>
        </w:rPr>
      </w:pPr>
      <w:r>
        <w:rPr>
          <w:rFonts w:ascii="Times New Roman" w:cs="Times New Roman" w:hAnsi="Times New Roman"/>
          <w:color w:val="auto"/>
          <w:sz w:val="24"/>
          <w:szCs w:val="24"/>
        </w:rPr>
        <w:t>ASIC requirements</w:t>
      </w:r>
      <w:bookmarkEnd w:id="7"/>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Under Australian regulations, all companies must be dully registered to be allowed to operate within the borders of the country. Under the ASIC, Charity Care will have to be registered and must fulfill the ASIC requirements; for instance, be a registered company, have a name, and must own an Australian Business Number (ABN). </w:t>
      </w:r>
    </w:p>
    <w:bookmarkStart w:id="8" w:name="_Toc30487935"/>
    <w:p>
      <w:pPr>
        <w:pStyle w:val="style3"/>
        <w:spacing w:before="0" w:lineRule="auto" w:line="480"/>
        <w:rPr>
          <w:rFonts w:ascii="Times New Roman" w:cs="Times New Roman" w:hAnsi="Times New Roman"/>
          <w:color w:val="auto"/>
          <w:sz w:val="24"/>
          <w:szCs w:val="24"/>
        </w:rPr>
      </w:pPr>
      <w:r>
        <w:rPr>
          <w:rFonts w:ascii="Times New Roman" w:cs="Times New Roman" w:hAnsi="Times New Roman"/>
          <w:color w:val="auto"/>
          <w:sz w:val="24"/>
          <w:szCs w:val="24"/>
        </w:rPr>
        <w:t>GST bas regulations</w:t>
      </w:r>
      <w:bookmarkEnd w:id="8"/>
      <w:r>
        <w:rPr>
          <w:rFonts w:ascii="Times New Roman" w:cs="Times New Roman" w:hAnsi="Times New Roman"/>
          <w:color w:val="auto"/>
          <w:sz w:val="24"/>
          <w:szCs w:val="24"/>
        </w:rPr>
        <w:t xml:space="preserve">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Charity Care will also have to comply with the GST BAS regulations, which require every company that has registered for GST to lodge its business activity statement (BAS). BAS enables the company to report and pay its goods and services tax (GST), submit its Pay as you go (PAYG) installments and withholding tax, and other taxes. </w:t>
      </w:r>
    </w:p>
    <w:bookmarkStart w:id="9" w:name="_Toc30487936"/>
    <w:p>
      <w:pPr>
        <w:pStyle w:val="style3"/>
        <w:spacing w:before="0" w:lineRule="auto" w:line="480"/>
        <w:rPr>
          <w:rFonts w:ascii="Times New Roman" w:cs="Times New Roman" w:hAnsi="Times New Roman"/>
          <w:color w:val="auto"/>
          <w:sz w:val="24"/>
          <w:szCs w:val="24"/>
        </w:rPr>
      </w:pPr>
      <w:r>
        <w:rPr>
          <w:rFonts w:ascii="Times New Roman" w:cs="Times New Roman" w:hAnsi="Times New Roman"/>
          <w:color w:val="auto"/>
          <w:sz w:val="24"/>
          <w:szCs w:val="24"/>
        </w:rPr>
        <w:t>Income tax act</w:t>
      </w:r>
      <w:bookmarkEnd w:id="9"/>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Every country requires its people and business organizations that operate within its borders to comply with the income tax regulations. Charity Care must also comply with the Australian income tax regulations. This will help the charity organization maintain high-quality governance across its tax affairs. </w:t>
      </w:r>
    </w:p>
    <w:bookmarkStart w:id="10" w:name="_Toc30487937"/>
    <w:p>
      <w:pPr>
        <w:pStyle w:val="style3"/>
        <w:spacing w:before="0" w:lineRule="auto" w:line="480"/>
        <w:rPr>
          <w:rFonts w:ascii="Times New Roman" w:cs="Times New Roman" w:hAnsi="Times New Roman"/>
          <w:color w:val="auto"/>
          <w:sz w:val="24"/>
          <w:szCs w:val="24"/>
        </w:rPr>
      </w:pPr>
      <w:r>
        <w:rPr>
          <w:rFonts w:ascii="Times New Roman" w:cs="Times New Roman" w:hAnsi="Times New Roman"/>
          <w:color w:val="auto"/>
          <w:sz w:val="24"/>
          <w:szCs w:val="24"/>
        </w:rPr>
        <w:t>Privacy law</w:t>
      </w:r>
      <w:bookmarkEnd w:id="10"/>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Organizations collect a huge amount of data from their clients every day, but no one is sure about the security status of the collected information. All information is relevant to someone no matter how small or insignificant it may seem. Therefore, Charity Care must comply with the privacy law to ensure that it creates security strategies that help protect and guide the way personal identifiable data collected from clients are protected from unauthorized personnel. </w:t>
      </w:r>
    </w:p>
    <w:bookmarkStart w:id="11" w:name="_Toc30487938"/>
    <w:p>
      <w:pPr>
        <w:pStyle w:val="style2"/>
        <w:spacing w:before="0" w:lineRule="auto" w:line="480"/>
        <w:rPr>
          <w:rFonts w:ascii="Times New Roman" w:cs="Times New Roman" w:hAnsi="Times New Roman"/>
          <w:color w:val="auto"/>
          <w:sz w:val="24"/>
          <w:szCs w:val="24"/>
        </w:rPr>
      </w:pPr>
      <w:r>
        <w:rPr>
          <w:rFonts w:ascii="Times New Roman" w:cs="Times New Roman" w:hAnsi="Times New Roman"/>
          <w:color w:val="auto"/>
          <w:sz w:val="24"/>
          <w:szCs w:val="24"/>
        </w:rPr>
        <w:t>Industry Compliance Requirements</w:t>
      </w:r>
      <w:bookmarkEnd w:id="11"/>
      <w:r>
        <w:rPr>
          <w:rFonts w:ascii="Times New Roman" w:cs="Times New Roman" w:hAnsi="Times New Roman"/>
          <w:color w:val="auto"/>
          <w:sz w:val="24"/>
          <w:szCs w:val="24"/>
        </w:rPr>
        <w:t xml:space="preserve"> </w:t>
      </w:r>
    </w:p>
    <w:bookmarkStart w:id="12" w:name="_Toc30487939"/>
    <w:p>
      <w:pPr>
        <w:pStyle w:val="style3"/>
        <w:spacing w:before="0" w:lineRule="auto" w:line="480"/>
        <w:rPr>
          <w:rFonts w:ascii="Times New Roman" w:cs="Times New Roman" w:hAnsi="Times New Roman"/>
          <w:color w:val="auto"/>
          <w:sz w:val="24"/>
          <w:szCs w:val="24"/>
        </w:rPr>
      </w:pPr>
      <w:r>
        <w:rPr>
          <w:rFonts w:ascii="Times New Roman" w:cs="Times New Roman" w:hAnsi="Times New Roman"/>
          <w:color w:val="auto"/>
          <w:sz w:val="24"/>
          <w:szCs w:val="24"/>
        </w:rPr>
        <w:t>Collection Act</w:t>
      </w:r>
      <w:bookmarkEnd w:id="12"/>
      <w:r>
        <w:rPr>
          <w:rFonts w:ascii="Times New Roman" w:cs="Times New Roman" w:hAnsi="Times New Roman"/>
          <w:color w:val="auto"/>
          <w:sz w:val="24"/>
          <w:szCs w:val="24"/>
        </w:rPr>
        <w:t xml:space="preserve">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As an industry, Charity Care must comply with the Collection Act. This law was created in 2005 but has been since amended several times to suit the emerging needs of the Australian society.  Collection Act falls under the ASIC enforcement agency to help creditors, collectors, and debtors understand their rights and roles in ensuring that debt collection activity is undertaken in accordance with the regulations under the consumer protection laws. </w:t>
      </w:r>
    </w:p>
    <w:bookmarkStart w:id="13" w:name="_Toc30487940"/>
    <w:p>
      <w:pPr>
        <w:pStyle w:val="style1"/>
        <w:spacing w:before="0" w:lineRule="auto" w:line="480"/>
        <w:jc w:val="center"/>
        <w:rPr>
          <w:rFonts w:ascii="Times New Roman" w:cs="Times New Roman" w:hAnsi="Times New Roman"/>
          <w:color w:val="auto"/>
          <w:sz w:val="24"/>
          <w:szCs w:val="24"/>
        </w:rPr>
      </w:pPr>
      <w:r>
        <w:rPr>
          <w:rFonts w:ascii="Times New Roman" w:cs="Times New Roman" w:hAnsi="Times New Roman"/>
          <w:color w:val="auto"/>
          <w:sz w:val="24"/>
          <w:szCs w:val="24"/>
        </w:rPr>
        <w:t>3. Compliance Management</w:t>
      </w:r>
      <w:bookmarkEnd w:id="13"/>
    </w:p>
    <w:p>
      <w:pPr>
        <w:pStyle w:val="style2"/>
        <w:spacing w:before="0" w:lineRule="auto" w:line="480"/>
        <w:rPr>
          <w:rFonts w:ascii="Times New Roman" w:cs="Times New Roman" w:hAnsi="Times New Roman"/>
          <w:color w:val="auto"/>
          <w:sz w:val="24"/>
          <w:szCs w:val="24"/>
        </w:rPr>
      </w:pPr>
      <w:r>
        <w:rPr>
          <w:rFonts w:ascii="Times New Roman" w:cs="Times New Roman" w:hAnsi="Times New Roman"/>
          <w:color w:val="auto"/>
          <w:sz w:val="24"/>
          <w:szCs w:val="24"/>
        </w:rPr>
        <w:t xml:space="preserve"> </w:t>
      </w:r>
      <w:bookmarkStart w:id="14" w:name="_Toc30487941"/>
      <w:r>
        <w:rPr>
          <w:rFonts w:ascii="Times New Roman" w:cs="Times New Roman" w:hAnsi="Times New Roman"/>
          <w:color w:val="auto"/>
          <w:sz w:val="24"/>
          <w:szCs w:val="24"/>
        </w:rPr>
        <w:t>a.) Areas Most Affected</w:t>
      </w:r>
      <w:bookmarkEnd w:id="14"/>
      <w:r>
        <w:rPr>
          <w:rFonts w:ascii="Times New Roman" w:cs="Times New Roman" w:hAnsi="Times New Roman"/>
          <w:color w:val="auto"/>
          <w:sz w:val="24"/>
          <w:szCs w:val="24"/>
        </w:rPr>
        <w:t xml:space="preserve">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Many areas in Charity Care’s management system is affected based on the audit report given in the case study. Some of the main areas that are affected are as follows: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1.    Taxation-The case study shows that the top management or people charged with running the daily operations of the organization are not aware of the seriousness of their actions. However, this can be blamed on a lack of knowledge and proper system to ensure that they comply with the regulations. In regards to taxation, Charity Care’s bookkeeper complaints that it just gets too busy to end the month’s adjustments, and as such, they don’t always do it at all.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2.    WHS-It is clear that Charity Care cares about the safety and health of its workers, but the assumption that all accidents are preventable reduces the effectiveness of the firm to respond to the work health and safety of its people as required.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3.    Cash handling-Since the repair payments do not match the total receipts issued is an indication that the cash handling system is wrong and needs to be changed.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4.    Record keeping-The records of Charity Care is not kept as they should be. for example, it is noted in the audit report that various important transactions have been recorded in the wrong accounting period.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5.    Asset management and security-Charity Care management is not taking care of the organization’s assets. This has been noted in the audit report where it is indicated that some assets are not listed in their location, especially the printing machines. </w:t>
      </w:r>
    </w:p>
    <w:bookmarkStart w:id="15" w:name="_Toc30487942"/>
    <w:p>
      <w:pPr>
        <w:pStyle w:val="style2"/>
        <w:spacing w:before="0" w:lineRule="auto" w:line="480"/>
        <w:rPr>
          <w:rFonts w:ascii="Times New Roman" w:cs="Times New Roman" w:hAnsi="Times New Roman"/>
          <w:color w:val="auto"/>
          <w:sz w:val="24"/>
          <w:szCs w:val="24"/>
        </w:rPr>
      </w:pPr>
      <w:r>
        <w:rPr>
          <w:rFonts w:ascii="Times New Roman" w:cs="Times New Roman" w:hAnsi="Times New Roman"/>
          <w:color w:val="auto"/>
          <w:sz w:val="24"/>
          <w:szCs w:val="24"/>
        </w:rPr>
        <w:t>b.) Risks Involved</w:t>
      </w:r>
      <w:bookmarkEnd w:id="15"/>
      <w:r>
        <w:rPr>
          <w:rFonts w:ascii="Times New Roman" w:cs="Times New Roman" w:hAnsi="Times New Roman"/>
          <w:color w:val="auto"/>
          <w:sz w:val="24"/>
          <w:szCs w:val="24"/>
        </w:rPr>
        <w:t xml:space="preserve">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1. Legal loss of Asset-In case the assets are not listed correctly as per their location as indicated in the case study, they can be easily lost, especially when there is no proper documentation.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2. Penalty-Inability to comply with the required regulations like failure to lodge tax and monthly BAS returns can result in penalties, which can affect the firm negatively, especially financially. </w:t>
      </w:r>
    </w:p>
    <w:bookmarkStart w:id="16" w:name="_Toc30487943"/>
    <w:p>
      <w:pPr>
        <w:pStyle w:val="style2"/>
        <w:spacing w:before="0" w:lineRule="auto" w:line="480"/>
        <w:rPr>
          <w:rFonts w:ascii="Times New Roman" w:cs="Times New Roman" w:hAnsi="Times New Roman"/>
          <w:color w:val="auto"/>
          <w:sz w:val="24"/>
          <w:szCs w:val="24"/>
        </w:rPr>
      </w:pPr>
      <w:r>
        <w:rPr>
          <w:rFonts w:ascii="Times New Roman" w:cs="Times New Roman" w:hAnsi="Times New Roman"/>
          <w:color w:val="auto"/>
          <w:sz w:val="24"/>
          <w:szCs w:val="24"/>
        </w:rPr>
        <w:t>c.) Breaches and Penalties Applicable</w:t>
      </w:r>
      <w:bookmarkEnd w:id="16"/>
      <w:r>
        <w:rPr>
          <w:rFonts w:ascii="Times New Roman" w:cs="Times New Roman" w:hAnsi="Times New Roman"/>
          <w:color w:val="auto"/>
          <w:sz w:val="24"/>
          <w:szCs w:val="24"/>
        </w:rPr>
        <w:t xml:space="preserve">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Tax and GST Law-The The main breach, in this case, would be tax evasion, which involves collecting GST but failure to submit it to the government within 3 months. This breach can result in various penalties that depend on the penalty unit at the time. For example, such a breach of failing to lodge tax returns on time can result in a penalty of about $210 per unity (ATO, 2019). </w:t>
      </w:r>
    </w:p>
    <w:bookmarkStart w:id="17" w:name="_Toc30487944"/>
    <w:p>
      <w:pPr>
        <w:pStyle w:val="style2"/>
        <w:spacing w:before="0" w:lineRule="auto" w:line="480"/>
        <w:rPr>
          <w:rFonts w:ascii="Times New Roman" w:cs="Times New Roman" w:hAnsi="Times New Roman"/>
          <w:color w:val="auto"/>
          <w:sz w:val="24"/>
          <w:szCs w:val="24"/>
        </w:rPr>
      </w:pPr>
      <w:r>
        <w:rPr>
          <w:rFonts w:ascii="Times New Roman" w:cs="Times New Roman" w:hAnsi="Times New Roman"/>
          <w:color w:val="auto"/>
          <w:sz w:val="24"/>
          <w:szCs w:val="24"/>
        </w:rPr>
        <w:t>d.) Risk Mitigation</w:t>
      </w:r>
      <w:bookmarkEnd w:id="17"/>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1. Internal control-Charity Care needs to improve its control of the internal processes to reduce laxity witnessed among the workers, especially in the financial and bookkeeping departments.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2. Budgeting-Proper budgeting will help Charity Care plan and account for the financial resources allocated to it by the donor and the profits it gets from selling the computer products. </w:t>
      </w:r>
    </w:p>
    <w:bookmarkStart w:id="18" w:name="_Toc30487945"/>
    <w:p>
      <w:pPr>
        <w:pStyle w:val="style1"/>
        <w:spacing w:before="0" w:lineRule="auto" w:line="480"/>
        <w:jc w:val="center"/>
        <w:rPr>
          <w:rFonts w:ascii="Times New Roman" w:cs="Times New Roman" w:hAnsi="Times New Roman"/>
          <w:color w:val="auto"/>
          <w:sz w:val="24"/>
          <w:szCs w:val="24"/>
        </w:rPr>
      </w:pPr>
      <w:r>
        <w:rPr>
          <w:rFonts w:ascii="Times New Roman" w:cs="Times New Roman" w:hAnsi="Times New Roman"/>
          <w:color w:val="auto"/>
          <w:sz w:val="24"/>
          <w:szCs w:val="24"/>
        </w:rPr>
        <w:t>Comparison of Available Compliance Management Systems</w:t>
      </w:r>
      <w:bookmarkEnd w:id="18"/>
    </w:p>
    <w:bookmarkStart w:id="19" w:name="_Toc30487946"/>
    <w:p>
      <w:pPr>
        <w:pStyle w:val="style2"/>
        <w:spacing w:before="0" w:lineRule="auto" w:line="480"/>
        <w:rPr>
          <w:rFonts w:ascii="Times New Roman" w:cs="Times New Roman" w:hAnsi="Times New Roman"/>
          <w:color w:val="auto"/>
          <w:sz w:val="24"/>
          <w:szCs w:val="24"/>
        </w:rPr>
      </w:pPr>
      <w:r>
        <w:rPr>
          <w:rFonts w:ascii="Times New Roman" w:cs="Times New Roman" w:hAnsi="Times New Roman"/>
          <w:color w:val="auto"/>
          <w:sz w:val="24"/>
          <w:szCs w:val="24"/>
        </w:rPr>
        <w:t>a.) Available Compliance Systems</w:t>
      </w:r>
      <w:bookmarkEnd w:id="19"/>
      <w:r>
        <w:rPr>
          <w:rFonts w:ascii="Times New Roman" w:cs="Times New Roman" w:hAnsi="Times New Roman"/>
          <w:color w:val="auto"/>
          <w:sz w:val="24"/>
          <w:szCs w:val="24"/>
        </w:rPr>
        <w:t xml:space="preserve">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1. Risk Management-Risk management compliance system ensures that the organization does fall into different unique risks including non-compliance risks. This will help the organization maintain its stability and integrity in every level of operation.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2. Record Management-Charity Care lacks proper record management strategy. As such, the record management compliance system will ensure that the organization follows its record management policies and it is in line with the retention schedules as per the regulations during an audit.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3. Guideline for complaint handling-As an organization that deals with vulnerable people, it is important to establish an effective complaint handling system that can keep accountabilities of all the complaints made to the firm. </w:t>
      </w:r>
    </w:p>
    <w:bookmarkStart w:id="20" w:name="_Toc30487947"/>
    <w:p>
      <w:pPr>
        <w:pStyle w:val="style2"/>
        <w:spacing w:before="0" w:lineRule="auto" w:line="480"/>
        <w:rPr>
          <w:rFonts w:ascii="Times New Roman" w:cs="Times New Roman" w:hAnsi="Times New Roman"/>
          <w:color w:val="auto"/>
          <w:sz w:val="24"/>
          <w:szCs w:val="24"/>
        </w:rPr>
      </w:pPr>
      <w:r>
        <w:rPr>
          <w:rFonts w:ascii="Times New Roman" w:cs="Times New Roman" w:hAnsi="Times New Roman"/>
          <w:color w:val="auto"/>
          <w:sz w:val="24"/>
          <w:szCs w:val="24"/>
        </w:rPr>
        <w:t>b.) Comparison of Available Compliance Systems</w:t>
      </w:r>
      <w:bookmarkEnd w:id="20"/>
      <w:r>
        <w:rPr>
          <w:rFonts w:ascii="Times New Roman" w:cs="Times New Roman" w:hAnsi="Times New Roman"/>
          <w:color w:val="auto"/>
          <w:sz w:val="24"/>
          <w:szCs w:val="24"/>
        </w:rPr>
        <w:t xml:space="preserve">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1. Cost-In terms of cost, the risk management compliance system is cheaper and less costly because it does not require the installation of new facilities. The managers can use already existing facilities to create their risk management compliance system. For example, the internal audit program or financial reporting controls system. All they have to do is to ensure that the people responsible can respond in time and accurately. This is cheaper than the other systems like a record management system that would require the establishment of an online data storage system to keep all the records of the company.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2. Effectiveness-Both systems can give positive results, but risk management stands out to be more effective than the rest because it covers the larger part of the organization. Risk management involves the non-compliance of the organization, which is a risk in itself. Since it can be implemented without incurring any other cost, it is cost-effective and beneficial to Charity Care more.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3. Efficiency-Efficiency today relies on the availability of data and accurate information. This can be provided with the record management compliance system, which involves keeping all the records that the firm interacts with. This will facilitate effective decision-making.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4. Feasibility-Based on the available resources, risk management is more feasible than the rest of the other systems because record-keeping requires an IT department to be established and complaint handling requires a complaint desk to be established.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5. Match to organizational culture-Charity Care is a small organization with big goals and objectives. This means that it must begin with simple problems like complying with the tax regulations and budget plans. Risk management is the best way to achieve that. </w:t>
      </w:r>
    </w:p>
    <w:bookmarkStart w:id="21" w:name="_Toc30487948"/>
    <w:p>
      <w:pPr>
        <w:pStyle w:val="style1"/>
        <w:spacing w:before="0" w:lineRule="auto" w:line="480"/>
        <w:jc w:val="center"/>
        <w:rPr>
          <w:rFonts w:ascii="Times New Roman" w:cs="Times New Roman" w:hAnsi="Times New Roman"/>
          <w:color w:val="auto"/>
          <w:sz w:val="24"/>
          <w:szCs w:val="24"/>
        </w:rPr>
      </w:pPr>
      <w:r>
        <w:rPr>
          <w:rFonts w:ascii="Times New Roman" w:cs="Times New Roman" w:hAnsi="Times New Roman"/>
          <w:color w:val="auto"/>
          <w:sz w:val="24"/>
          <w:szCs w:val="24"/>
        </w:rPr>
        <w:t>5.) Research Process</w:t>
      </w:r>
      <w:bookmarkEnd w:id="21"/>
    </w:p>
    <w:bookmarkStart w:id="22" w:name="_Toc30487949"/>
    <w:p>
      <w:pPr>
        <w:pStyle w:val="style2"/>
        <w:spacing w:before="0" w:lineRule="auto" w:line="480"/>
        <w:rPr>
          <w:rFonts w:ascii="Times New Roman" w:cs="Times New Roman" w:hAnsi="Times New Roman"/>
          <w:color w:val="auto"/>
          <w:sz w:val="24"/>
          <w:szCs w:val="24"/>
        </w:rPr>
      </w:pPr>
      <w:r>
        <w:rPr>
          <w:rFonts w:ascii="Times New Roman" w:cs="Times New Roman" w:hAnsi="Times New Roman"/>
          <w:color w:val="auto"/>
          <w:sz w:val="24"/>
          <w:szCs w:val="24"/>
        </w:rPr>
        <w:t>a.) Type of research</w:t>
      </w:r>
      <w:bookmarkEnd w:id="22"/>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We used qualitative approach in which we used questionnaires, survey, and feedback forms to collect data. </w:t>
      </w:r>
    </w:p>
    <w:bookmarkStart w:id="23" w:name="_Toc30487950"/>
    <w:p>
      <w:pPr>
        <w:pStyle w:val="style2"/>
        <w:spacing w:before="0" w:lineRule="auto" w:line="480"/>
        <w:rPr>
          <w:rFonts w:ascii="Times New Roman" w:cs="Times New Roman" w:hAnsi="Times New Roman"/>
          <w:color w:val="auto"/>
          <w:sz w:val="24"/>
          <w:szCs w:val="24"/>
        </w:rPr>
      </w:pPr>
      <w:r>
        <w:rPr>
          <w:rFonts w:ascii="Times New Roman" w:cs="Times New Roman" w:hAnsi="Times New Roman"/>
          <w:color w:val="auto"/>
          <w:sz w:val="24"/>
          <w:szCs w:val="24"/>
        </w:rPr>
        <w:t>b.) Development of research plan</w:t>
      </w:r>
      <w:bookmarkEnd w:id="23"/>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Problem identification-We identified the following problems in the organization; favoritism in the tender offering, mishandled cash, missing laptops, unrecorded or inappropriate handling of assets, and tax non-compliance.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Research Design-We selected the qualitative approach because this was exploratory research. It was a suitable research approach because we wanted to understand the opinions and reasons behind non-compliance. Furthermore, the small sample size and the respondent made it perfect to choose this research approach.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Collection of data-We used both primary and secondary data collection techniques such as interviews, observation, and a number of complaints, inventory records, and cash discrepancies. </w:t>
      </w:r>
    </w:p>
    <w:bookmarkStart w:id="24" w:name="_Toc30487951"/>
    <w:p>
      <w:pPr>
        <w:pStyle w:val="style1"/>
        <w:spacing w:before="0" w:lineRule="auto" w:line="480"/>
        <w:jc w:val="center"/>
        <w:rPr>
          <w:rFonts w:ascii="Times New Roman" w:cs="Times New Roman" w:hAnsi="Times New Roman"/>
          <w:color w:val="auto"/>
          <w:sz w:val="24"/>
          <w:szCs w:val="24"/>
        </w:rPr>
      </w:pPr>
      <w:r>
        <w:rPr>
          <w:rFonts w:ascii="Times New Roman" w:cs="Times New Roman" w:hAnsi="Times New Roman"/>
          <w:color w:val="auto"/>
          <w:sz w:val="24"/>
          <w:szCs w:val="24"/>
        </w:rPr>
        <w:t>Analysis and Interpretation of data</w:t>
      </w:r>
      <w:bookmarkEnd w:id="24"/>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The table below shows data analysis</w:t>
      </w:r>
    </w:p>
    <w:tbl>
      <w:tblPr>
        <w:tblStyle w:val="style154"/>
        <w:tblW w:w="0" w:type="auto"/>
        <w:tblLook w:val="04A0" w:firstRow="1" w:lastRow="0" w:firstColumn="1" w:lastColumn="0" w:noHBand="0" w:noVBand="1"/>
      </w:tblPr>
      <w:tblGrid>
        <w:gridCol w:w="4927"/>
        <w:gridCol w:w="4927"/>
      </w:tblGrid>
      <w:tr>
        <w:trPr/>
        <w:tc>
          <w:tcPr>
            <w:tcW w:w="4927" w:type="dxa"/>
            <w:tcBorders/>
          </w:tcPr>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 xml:space="preserve">Data collected </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(number of non-compliances)</w:t>
            </w:r>
          </w:p>
        </w:tc>
        <w:tc>
          <w:tcPr>
            <w:tcW w:w="4927" w:type="dxa"/>
            <w:tcBorders/>
          </w:tcPr>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 xml:space="preserve">Analytical findings </w:t>
            </w:r>
          </w:p>
          <w:p>
            <w:pPr>
              <w:pStyle w:val="style0"/>
              <w:spacing w:lineRule="auto" w:line="480"/>
              <w:rPr>
                <w:rFonts w:ascii="Times New Roman" w:cs="Times New Roman" w:hAnsi="Times New Roman"/>
                <w:b/>
                <w:sz w:val="24"/>
                <w:szCs w:val="24"/>
              </w:rPr>
            </w:pPr>
            <w:r>
              <w:rPr>
                <w:rFonts w:ascii="Times New Roman" w:cs="Times New Roman" w:hAnsi="Times New Roman"/>
                <w:b/>
                <w:sz w:val="24"/>
                <w:szCs w:val="24"/>
              </w:rPr>
              <w:t>(Frequency of event)</w:t>
            </w:r>
          </w:p>
        </w:tc>
      </w:tr>
      <w:tr>
        <w:tblPrEx/>
        <w:trPr/>
        <w:tc>
          <w:tcPr>
            <w:tcW w:w="4927"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Risk management</w:t>
            </w:r>
          </w:p>
        </w:tc>
        <w:tc>
          <w:tcPr>
            <w:tcW w:w="4927"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3</w:t>
            </w:r>
          </w:p>
        </w:tc>
      </w:tr>
      <w:tr>
        <w:tblPrEx/>
        <w:trPr/>
        <w:tc>
          <w:tcPr>
            <w:tcW w:w="4927"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Financial handling policy</w:t>
            </w:r>
          </w:p>
        </w:tc>
        <w:tc>
          <w:tcPr>
            <w:tcW w:w="4927"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5</w:t>
            </w:r>
          </w:p>
        </w:tc>
      </w:tr>
      <w:tr>
        <w:tblPrEx/>
        <w:trPr/>
        <w:tc>
          <w:tcPr>
            <w:tcW w:w="4927"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Equal employment opportunities policy</w:t>
            </w:r>
          </w:p>
        </w:tc>
        <w:tc>
          <w:tcPr>
            <w:tcW w:w="4927" w:type="dxa"/>
            <w:tcBorders/>
          </w:tcPr>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2</w:t>
            </w:r>
          </w:p>
        </w:tc>
      </w:tr>
    </w:tbl>
    <w:p>
      <w:pPr>
        <w:pStyle w:val="style0"/>
        <w:spacing w:after="0" w:lineRule="auto" w:line="480"/>
        <w:rPr>
          <w:rFonts w:ascii="Times New Roman" w:cs="Times New Roman" w:hAnsi="Times New Roman"/>
          <w:sz w:val="24"/>
          <w:szCs w:val="24"/>
        </w:rPr>
      </w:pPr>
    </w:p>
    <w:bookmarkStart w:id="25" w:name="_Toc30487952"/>
    <w:p>
      <w:pPr>
        <w:pStyle w:val="style2"/>
        <w:spacing w:before="0" w:lineRule="auto" w:line="480"/>
        <w:rPr>
          <w:rFonts w:ascii="Times New Roman" w:cs="Times New Roman" w:eastAsia="Times New Roman" w:hAnsi="Times New Roman"/>
          <w:color w:val="auto"/>
          <w:sz w:val="24"/>
          <w:szCs w:val="24"/>
          <w:lang w:eastAsia="en-GB"/>
        </w:rPr>
      </w:pPr>
      <w:r>
        <w:rPr>
          <w:rFonts w:ascii="Times New Roman" w:cs="Times New Roman" w:eastAsia="Times New Roman" w:hAnsi="Times New Roman"/>
          <w:color w:val="auto"/>
          <w:sz w:val="24"/>
          <w:szCs w:val="24"/>
          <w:lang w:eastAsia="en-GB"/>
        </w:rPr>
        <w:t>Dissemination of results</w:t>
      </w:r>
      <w:bookmarkEnd w:id="25"/>
    </w:p>
    <w:p>
      <w:pPr>
        <w:pStyle w:val="style0"/>
        <w:spacing w:after="0" w:lineRule="auto" w:line="480"/>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We used both written and visual communication methods because they offer the audience a chance for a referral. Since this data cannot afford to be misunderstood or miscommunicated, face-to-face, teleconference, memo, and company newsletters were preferred modes of communication. Face-to-face mode enables both interviewer and interviewee to seek clarification for issues.</w:t>
      </w:r>
    </w:p>
    <w:bookmarkStart w:id="26" w:name="_Toc30487953"/>
    <w:p>
      <w:pPr>
        <w:pStyle w:val="style2"/>
        <w:spacing w:before="0" w:lineRule="auto" w:line="480"/>
        <w:rPr>
          <w:rFonts w:ascii="Times New Roman" w:cs="Times New Roman" w:eastAsia="Times New Roman" w:hAnsi="Times New Roman"/>
          <w:color w:val="auto"/>
          <w:sz w:val="24"/>
          <w:szCs w:val="24"/>
          <w:lang w:eastAsia="en-GB"/>
        </w:rPr>
      </w:pPr>
      <w:r>
        <w:rPr>
          <w:rFonts w:ascii="Times New Roman" w:cs="Times New Roman" w:eastAsia="Times New Roman" w:hAnsi="Times New Roman"/>
          <w:color w:val="auto"/>
          <w:sz w:val="24"/>
          <w:szCs w:val="24"/>
          <w:lang w:eastAsia="en-GB"/>
        </w:rPr>
        <w:t>Development of survey tools</w:t>
      </w:r>
      <w:bookmarkEnd w:id="26"/>
    </w:p>
    <w:p>
      <w:pPr>
        <w:pStyle w:val="style0"/>
        <w:spacing w:after="0" w:lineRule="auto" w:line="480"/>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 xml:space="preserve">The survey </w:t>
      </w:r>
      <w:r>
        <w:rPr>
          <w:rFonts w:ascii="Times New Roman" w:cs="Times New Roman" w:eastAsia="Times New Roman" w:hAnsi="Times New Roman"/>
          <w:sz w:val="24"/>
          <w:szCs w:val="24"/>
          <w:lang w:eastAsia="en-GB"/>
        </w:rPr>
        <w:t>tools for this research were</w:t>
      </w:r>
      <w:r>
        <w:rPr>
          <w:rFonts w:ascii="Times New Roman" w:cs="Times New Roman" w:eastAsia="Times New Roman" w:hAnsi="Times New Roman"/>
          <w:sz w:val="24"/>
          <w:szCs w:val="24"/>
          <w:lang w:eastAsia="en-GB"/>
        </w:rPr>
        <w:t xml:space="preserve"> developed into consideration to the research approach </w:t>
      </w:r>
      <w:r>
        <w:rPr>
          <w:rFonts w:ascii="Times New Roman" w:cs="Times New Roman" w:eastAsia="Times New Roman" w:hAnsi="Times New Roman"/>
          <w:sz w:val="24"/>
          <w:szCs w:val="24"/>
          <w:lang w:eastAsia="en-GB"/>
        </w:rPr>
        <w:t>adopted</w:t>
      </w:r>
      <w:r>
        <w:rPr>
          <w:rFonts w:ascii="Times New Roman" w:cs="Times New Roman" w:eastAsia="Times New Roman" w:hAnsi="Times New Roman"/>
          <w:sz w:val="24"/>
          <w:szCs w:val="24"/>
          <w:lang w:eastAsia="en-GB"/>
        </w:rPr>
        <w:t xml:space="preserve"> qualitative approach.</w:t>
      </w:r>
    </w:p>
    <w:p>
      <w:pPr>
        <w:pStyle w:val="style0"/>
        <w:spacing w:after="0" w:lineRule="auto" w:line="480"/>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How the budget was assigned-For this research, there is no predefined budget for the compliance management system. However, it is important to note that if the proposed management system is accepted, it will be approved by the CEO.</w:t>
      </w:r>
    </w:p>
    <w:p>
      <w:pPr>
        <w:pStyle w:val="style0"/>
        <w:spacing w:after="0" w:lineRule="auto" w:line="480"/>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Analysis of qualitative and quantitative data-We used the following three analysis techniques:</w:t>
      </w:r>
    </w:p>
    <w:p>
      <w:pPr>
        <w:pStyle w:val="style0"/>
        <w:numPr>
          <w:ilvl w:val="0"/>
          <w:numId w:val="1"/>
        </w:numPr>
        <w:spacing w:after="0" w:lineRule="auto" w:line="480"/>
        <w:ind w:left="0" w:firstLine="0"/>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Observation and interviewing of employees</w:t>
      </w:r>
    </w:p>
    <w:p>
      <w:pPr>
        <w:pStyle w:val="style0"/>
        <w:numPr>
          <w:ilvl w:val="0"/>
          <w:numId w:val="1"/>
        </w:numPr>
        <w:spacing w:after="0" w:lineRule="auto" w:line="480"/>
        <w:ind w:left="0" w:firstLine="0"/>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Reviewing the number of non-compliance reported</w:t>
      </w:r>
    </w:p>
    <w:p>
      <w:pPr>
        <w:pStyle w:val="style0"/>
        <w:numPr>
          <w:ilvl w:val="0"/>
          <w:numId w:val="1"/>
        </w:numPr>
        <w:spacing w:after="0" w:lineRule="auto" w:line="480"/>
        <w:ind w:left="0" w:firstLine="0"/>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Reviewing policies and procedures as well as stakeholders’ feedback</w:t>
      </w:r>
    </w:p>
    <w:bookmarkStart w:id="27" w:name="_Toc30487954"/>
    <w:p>
      <w:pPr>
        <w:pStyle w:val="style1"/>
        <w:spacing w:before="0" w:lineRule="auto" w:line="480"/>
        <w:jc w:val="center"/>
        <w:rPr>
          <w:rFonts w:ascii="Times New Roman" w:cs="Times New Roman" w:eastAsia="Times New Roman" w:hAnsi="Times New Roman"/>
          <w:color w:val="auto"/>
          <w:sz w:val="24"/>
          <w:szCs w:val="24"/>
          <w:lang w:eastAsia="en-GB"/>
        </w:rPr>
      </w:pPr>
      <w:r>
        <w:rPr>
          <w:rFonts w:ascii="Times New Roman" w:cs="Times New Roman" w:eastAsia="Times New Roman" w:hAnsi="Times New Roman"/>
          <w:color w:val="auto"/>
          <w:sz w:val="24"/>
          <w:szCs w:val="24"/>
          <w:lang w:eastAsia="en-GB"/>
        </w:rPr>
        <w:t>Recommendations</w:t>
      </w:r>
      <w:bookmarkEnd w:id="27"/>
    </w:p>
    <w:p>
      <w:pPr>
        <w:pStyle w:val="style0"/>
        <w:spacing w:after="0" w:lineRule="auto" w:line="480"/>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We recommend the following integrated compliance management systems:</w:t>
      </w:r>
    </w:p>
    <w:p>
      <w:pPr>
        <w:pStyle w:val="style0"/>
        <w:numPr>
          <w:ilvl w:val="0"/>
          <w:numId w:val="13"/>
        </w:numPr>
        <w:spacing w:after="0" w:lineRule="auto" w:line="480"/>
        <w:ind w:left="0" w:firstLine="0"/>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Development of compliance policy</w:t>
      </w:r>
    </w:p>
    <w:p>
      <w:pPr>
        <w:pStyle w:val="style0"/>
        <w:numPr>
          <w:ilvl w:val="0"/>
          <w:numId w:val="13"/>
        </w:numPr>
        <w:spacing w:after="0" w:lineRule="auto" w:line="480"/>
        <w:ind w:left="0" w:firstLine="0"/>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Banking policy to be established </w:t>
      </w:r>
    </w:p>
    <w:p>
      <w:pPr>
        <w:pStyle w:val="style0"/>
        <w:numPr>
          <w:ilvl w:val="0"/>
          <w:numId w:val="13"/>
        </w:numPr>
        <w:spacing w:after="0" w:lineRule="auto" w:line="480"/>
        <w:ind w:left="0" w:firstLine="0"/>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Handling of company asset policy to be developed</w:t>
      </w:r>
    </w:p>
    <w:p>
      <w:pPr>
        <w:pStyle w:val="style0"/>
        <w:numPr>
          <w:ilvl w:val="0"/>
          <w:numId w:val="13"/>
        </w:numPr>
        <w:spacing w:after="0" w:lineRule="auto" w:line="480"/>
        <w:ind w:left="0" w:firstLine="0"/>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Lending and credit limit policy to be established </w:t>
      </w:r>
    </w:p>
    <w:p>
      <w:pPr>
        <w:pStyle w:val="style0"/>
        <w:numPr>
          <w:ilvl w:val="0"/>
          <w:numId w:val="13"/>
        </w:numPr>
        <w:spacing w:after="0" w:lineRule="auto" w:line="480"/>
        <w:ind w:left="0" w:firstLine="0"/>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Proper record-keeping policy system to be developed</w:t>
      </w:r>
    </w:p>
    <w:p>
      <w:pPr>
        <w:pStyle w:val="style0"/>
        <w:numPr>
          <w:ilvl w:val="0"/>
          <w:numId w:val="13"/>
        </w:numPr>
        <w:spacing w:after="0" w:lineRule="auto" w:line="480"/>
        <w:ind w:left="0" w:firstLine="0"/>
        <w:rPr>
          <w:rFonts w:ascii="Times New Roman" w:cs="Times New Roman" w:eastAsia="Times New Roman" w:hAnsi="Times New Roman"/>
          <w:sz w:val="24"/>
          <w:szCs w:val="24"/>
          <w:lang w:eastAsia="en-GB"/>
        </w:rPr>
      </w:pPr>
      <w:r>
        <w:rPr>
          <w:rFonts w:ascii="Times New Roman" w:cs="Times New Roman" w:eastAsia="Times New Roman" w:hAnsi="Times New Roman"/>
          <w:sz w:val="24"/>
          <w:szCs w:val="24"/>
          <w:lang w:eastAsia="en-GB"/>
        </w:rPr>
        <w:t>Antifraud management policy to be developed </w:t>
      </w:r>
    </w:p>
    <w:p>
      <w:pPr>
        <w:pStyle w:val="style179"/>
        <w:spacing w:after="0" w:lineRule="auto" w:line="480"/>
        <w:ind w:left="0"/>
        <w:rPr>
          <w:rFonts w:ascii="Times New Roman" w:cs="Times New Roman" w:hAnsi="Times New Roman"/>
          <w:sz w:val="24"/>
          <w:szCs w:val="24"/>
        </w:rPr>
      </w:pPr>
    </w:p>
    <w:p>
      <w:pPr>
        <w:pStyle w:val="style179"/>
        <w:spacing w:after="0" w:lineRule="auto" w:line="480"/>
        <w:ind w:left="0"/>
        <w:rPr>
          <w:rFonts w:ascii="Times New Roman" w:cs="Times New Roman" w:hAnsi="Times New Roman"/>
          <w:sz w:val="24"/>
          <w:szCs w:val="24"/>
        </w:rPr>
      </w:pPr>
    </w:p>
    <w:p>
      <w:pPr>
        <w:pStyle w:val="style179"/>
        <w:spacing w:after="0" w:lineRule="auto" w:line="480"/>
        <w:ind w:left="0"/>
        <w:rPr>
          <w:rFonts w:ascii="Times New Roman" w:cs="Times New Roman" w:hAnsi="Times New Roman"/>
          <w:sz w:val="24"/>
          <w:szCs w:val="24"/>
        </w:rPr>
      </w:pPr>
    </w:p>
    <w:p>
      <w:pPr>
        <w:pStyle w:val="style179"/>
        <w:spacing w:after="0" w:lineRule="auto" w:line="480"/>
        <w:ind w:left="0"/>
        <w:rPr>
          <w:rFonts w:ascii="Times New Roman" w:cs="Times New Roman" w:hAnsi="Times New Roman"/>
          <w:sz w:val="24"/>
          <w:szCs w:val="24"/>
        </w:rPr>
      </w:pPr>
    </w:p>
    <w:p>
      <w:pPr>
        <w:pStyle w:val="style179"/>
        <w:spacing w:after="0" w:lineRule="auto" w:line="480"/>
        <w:ind w:left="0"/>
        <w:rPr>
          <w:rFonts w:ascii="Times New Roman" w:cs="Times New Roman" w:hAnsi="Times New Roman"/>
          <w:sz w:val="24"/>
          <w:szCs w:val="24"/>
        </w:rPr>
      </w:pPr>
    </w:p>
    <w:p>
      <w:pPr>
        <w:pStyle w:val="style179"/>
        <w:spacing w:after="0" w:lineRule="auto" w:line="480"/>
        <w:ind w:left="0"/>
        <w:rPr>
          <w:rFonts w:ascii="Times New Roman" w:cs="Times New Roman" w:hAnsi="Times New Roman"/>
          <w:sz w:val="24"/>
          <w:szCs w:val="24"/>
        </w:rPr>
      </w:pPr>
    </w:p>
    <w:p>
      <w:pPr>
        <w:pStyle w:val="style179"/>
        <w:spacing w:after="0" w:lineRule="auto" w:line="480"/>
        <w:ind w:left="0"/>
        <w:rPr>
          <w:rFonts w:ascii="Times New Roman" w:cs="Times New Roman" w:hAnsi="Times New Roman"/>
          <w:sz w:val="24"/>
          <w:szCs w:val="24"/>
        </w:rPr>
      </w:pPr>
    </w:p>
    <w:p>
      <w:pPr>
        <w:pStyle w:val="style179"/>
        <w:spacing w:after="0" w:lineRule="auto" w:line="480"/>
        <w:ind w:left="0"/>
        <w:rPr>
          <w:rFonts w:ascii="Times New Roman" w:cs="Times New Roman" w:hAnsi="Times New Roman"/>
          <w:sz w:val="24"/>
          <w:szCs w:val="24"/>
        </w:rPr>
      </w:pPr>
    </w:p>
    <w:p>
      <w:pPr>
        <w:pStyle w:val="style179"/>
        <w:spacing w:after="0" w:lineRule="auto" w:line="480"/>
        <w:ind w:left="0"/>
        <w:rPr>
          <w:rFonts w:ascii="Times New Roman" w:cs="Times New Roman" w:hAnsi="Times New Roman"/>
          <w:sz w:val="24"/>
          <w:szCs w:val="24"/>
        </w:rPr>
      </w:pPr>
    </w:p>
    <w:p>
      <w:pPr>
        <w:pStyle w:val="style179"/>
        <w:spacing w:after="0" w:lineRule="auto" w:line="480"/>
        <w:ind w:left="0"/>
        <w:rPr>
          <w:rFonts w:ascii="Times New Roman" w:cs="Times New Roman" w:hAnsi="Times New Roman"/>
          <w:sz w:val="24"/>
          <w:szCs w:val="24"/>
        </w:rPr>
      </w:pPr>
    </w:p>
    <w:p>
      <w:pPr>
        <w:pStyle w:val="style179"/>
        <w:spacing w:after="0" w:lineRule="auto" w:line="480"/>
        <w:ind w:left="0"/>
        <w:rPr>
          <w:rFonts w:ascii="Times New Roman" w:cs="Times New Roman" w:hAnsi="Times New Roman"/>
          <w:sz w:val="24"/>
          <w:szCs w:val="24"/>
        </w:rPr>
      </w:pPr>
    </w:p>
    <w:p>
      <w:pPr>
        <w:pStyle w:val="style179"/>
        <w:spacing w:after="0" w:lineRule="auto" w:line="480"/>
        <w:ind w:left="0"/>
        <w:rPr>
          <w:rFonts w:ascii="Times New Roman" w:cs="Times New Roman" w:hAnsi="Times New Roman"/>
          <w:sz w:val="24"/>
          <w:szCs w:val="24"/>
        </w:rPr>
      </w:pPr>
    </w:p>
    <w:p>
      <w:pPr>
        <w:pStyle w:val="style179"/>
        <w:spacing w:after="0" w:lineRule="auto" w:line="480"/>
        <w:ind w:left="0"/>
        <w:rPr>
          <w:rFonts w:ascii="Times New Roman" w:cs="Times New Roman" w:hAnsi="Times New Roman"/>
          <w:sz w:val="24"/>
          <w:szCs w:val="24"/>
        </w:rPr>
      </w:pPr>
    </w:p>
    <w:p>
      <w:pPr>
        <w:pStyle w:val="style179"/>
        <w:spacing w:after="0" w:lineRule="auto" w:line="480"/>
        <w:ind w:left="0"/>
        <w:rPr>
          <w:rFonts w:ascii="Times New Roman" w:cs="Times New Roman" w:hAnsi="Times New Roman"/>
          <w:sz w:val="24"/>
          <w:szCs w:val="24"/>
        </w:rPr>
      </w:pPr>
    </w:p>
    <w:p>
      <w:pPr>
        <w:pStyle w:val="style179"/>
        <w:spacing w:after="0" w:lineRule="auto" w:line="480"/>
        <w:ind w:left="0"/>
        <w:rPr>
          <w:rFonts w:ascii="Times New Roman" w:cs="Times New Roman" w:hAnsi="Times New Roman"/>
          <w:sz w:val="24"/>
          <w:szCs w:val="24"/>
        </w:rPr>
      </w:pPr>
    </w:p>
    <w:p>
      <w:pPr>
        <w:pStyle w:val="style179"/>
        <w:spacing w:after="0" w:lineRule="auto" w:line="480"/>
        <w:ind w:left="0"/>
        <w:rPr>
          <w:rFonts w:ascii="Times New Roman" w:cs="Times New Roman" w:hAnsi="Times New Roman"/>
          <w:sz w:val="24"/>
          <w:szCs w:val="24"/>
        </w:rPr>
      </w:pPr>
    </w:p>
    <w:p>
      <w:pPr>
        <w:pStyle w:val="style179"/>
        <w:spacing w:after="0" w:lineRule="auto" w:line="480"/>
        <w:ind w:left="0"/>
        <w:rPr>
          <w:rFonts w:ascii="Times New Roman" w:cs="Times New Roman" w:hAnsi="Times New Roman"/>
          <w:sz w:val="24"/>
          <w:szCs w:val="24"/>
        </w:rPr>
      </w:pPr>
    </w:p>
    <w:p>
      <w:pPr>
        <w:pStyle w:val="style179"/>
        <w:spacing w:after="0" w:lineRule="auto" w:line="480"/>
        <w:ind w:left="0"/>
        <w:rPr>
          <w:rFonts w:ascii="Times New Roman" w:cs="Times New Roman" w:hAnsi="Times New Roman"/>
          <w:sz w:val="24"/>
          <w:szCs w:val="24"/>
        </w:rPr>
      </w:pPr>
    </w:p>
    <w:p>
      <w:pPr>
        <w:pStyle w:val="style179"/>
        <w:spacing w:after="0" w:lineRule="auto" w:line="480"/>
        <w:ind w:left="0"/>
        <w:rPr>
          <w:rFonts w:ascii="Times New Roman" w:cs="Times New Roman" w:hAnsi="Times New Roman"/>
          <w:sz w:val="24"/>
          <w:szCs w:val="24"/>
        </w:rPr>
      </w:pPr>
    </w:p>
    <w:bookmarkStart w:id="28" w:name="_Toc30487955"/>
    <w:p>
      <w:pPr>
        <w:pStyle w:val="style1"/>
        <w:spacing w:before="0" w:lineRule="auto" w:line="480"/>
        <w:jc w:val="center"/>
        <w:rPr>
          <w:rFonts w:ascii="Times New Roman" w:cs="Times New Roman" w:hAnsi="Times New Roman"/>
          <w:color w:val="auto"/>
          <w:sz w:val="24"/>
          <w:szCs w:val="24"/>
        </w:rPr>
      </w:pPr>
      <w:r>
        <w:rPr>
          <w:rFonts w:ascii="Times New Roman" w:cs="Times New Roman" w:hAnsi="Times New Roman"/>
          <w:color w:val="auto"/>
          <w:sz w:val="24"/>
          <w:szCs w:val="24"/>
        </w:rPr>
        <w:t>Reference</w:t>
      </w:r>
      <w:bookmarkEnd w:id="28"/>
    </w:p>
    <w:p>
      <w:pPr>
        <w:pStyle w:val="style0"/>
        <w:spacing w:after="0" w:lineRule="auto" w:line="480"/>
        <w:ind w:left="720" w:hanging="720"/>
        <w:rPr>
          <w:rFonts w:ascii="Times New Roman" w:cs="Times New Roman" w:hAnsi="Times New Roman"/>
          <w:b/>
          <w:sz w:val="24"/>
          <w:szCs w:val="24"/>
        </w:rPr>
      </w:pPr>
      <w:r>
        <w:rPr>
          <w:rFonts w:ascii="Times New Roman" w:cs="Times New Roman" w:hAnsi="Times New Roman"/>
          <w:sz w:val="24"/>
          <w:szCs w:val="24"/>
        </w:rPr>
        <w:t xml:space="preserve">ATO. (2019). “Penalties: Loss, Destruction or Compulsory Acquisition of an Asset.” </w:t>
      </w:r>
      <w:r>
        <w:rPr>
          <w:rFonts w:ascii="Times New Roman" w:cs="Times New Roman" w:hAnsi="Times New Roman"/>
          <w:i/>
          <w:sz w:val="24"/>
          <w:szCs w:val="24"/>
        </w:rPr>
        <w:t>Australian Government</w:t>
      </w:r>
      <w:r>
        <w:rPr>
          <w:rFonts w:ascii="Times New Roman" w:cs="Times New Roman" w:hAnsi="Times New Roman"/>
          <w:sz w:val="24"/>
          <w:szCs w:val="24"/>
        </w:rPr>
        <w:t xml:space="preserve">. Retrieved from </w:t>
      </w:r>
      <w:r>
        <w:rPr/>
        <w:fldChar w:fldCharType="begin"/>
      </w:r>
      <w:r>
        <w:instrText xml:space="preserve"> HYPERLINK "https://www.ato.gov.au/general/interest-and-penalties/penalties/" </w:instrText>
      </w:r>
      <w:r>
        <w:rPr/>
        <w:fldChar w:fldCharType="separate"/>
      </w:r>
      <w:r>
        <w:rPr>
          <w:rStyle w:val="style85"/>
          <w:rFonts w:ascii="Times New Roman" w:cs="Times New Roman" w:hAnsi="Times New Roman"/>
          <w:color w:val="auto"/>
          <w:sz w:val="24"/>
          <w:szCs w:val="24"/>
          <w:u w:val="none"/>
        </w:rPr>
        <w:t>https://www.ato.gov.au/general/interest-and-penalties/penalties/</w:t>
      </w:r>
      <w:r>
        <w:rPr/>
        <w:fldChar w:fldCharType="end"/>
      </w:r>
    </w:p>
    <w:p>
      <w:pPr>
        <w:pStyle w:val="style0"/>
        <w:spacing w:after="0" w:lineRule="auto" w:line="480"/>
        <w:ind w:left="720" w:hanging="720"/>
        <w:rPr>
          <w:rFonts w:ascii="Times New Roman" w:cs="Times New Roman" w:hAnsi="Times New Roman"/>
          <w:sz w:val="24"/>
          <w:szCs w:val="24"/>
        </w:rPr>
      </w:pPr>
    </w:p>
    <w:p>
      <w:pPr>
        <w:pStyle w:val="style0"/>
        <w:tabs>
          <w:tab w:val="left" w:leader="none" w:pos="5256"/>
        </w:tabs>
        <w:rPr>
          <w:rFonts w:ascii="Times New Roman" w:cs="Times New Roman" w:hAnsi="Times New Roman"/>
          <w:sz w:val="24"/>
          <w:szCs w:val="24"/>
        </w:rPr>
      </w:pPr>
    </w:p>
    <w:p>
      <w:pPr>
        <w:pStyle w:val="style0"/>
        <w:tabs>
          <w:tab w:val="left" w:leader="none" w:pos="5256"/>
        </w:tabs>
        <w:rPr>
          <w:rFonts w:ascii="Times New Roman" w:cs="Times New Roman" w:hAnsi="Times New Roman"/>
          <w:sz w:val="24"/>
          <w:szCs w:val="24"/>
        </w:rPr>
      </w:pPr>
    </w:p>
    <w:bookmarkEnd w:id="3"/>
    <w:p>
      <w:pPr>
        <w:pStyle w:val="style0"/>
        <w:tabs>
          <w:tab w:val="left" w:leader="none" w:pos="5256"/>
        </w:tabs>
        <w:rPr>
          <w:rFonts w:ascii="Times New Roman" w:cs="Times New Roman" w:hAnsi="Times New Roman"/>
          <w:sz w:val="24"/>
          <w:szCs w:val="24"/>
        </w:rPr>
      </w:pPr>
    </w:p>
    <w:sectPr>
      <w:headerReference w:type="default" r:id="rId2"/>
      <w:footerReference w:type="default" r:id="rId3"/>
      <w:pgSz w:w="11906" w:h="16838" w:orient="portrait"/>
      <w:pgMar w:top="1440" w:right="1134" w:bottom="1440" w:left="1134" w:header="709" w:footer="709"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roman"/>
    <w:pitch w:val="variable"/>
    <w:sig w:usb0="00000000" w:usb1="10000000" w:usb2="00000000" w:usb3="00000000" w:csb0="80000000" w:csb1="00000000"/>
  </w:font>
  <w:font w:name="Times New Roman">
    <w:altName w:val="Times New Roman"/>
    <w:panose1 w:val="02020603050004020304"/>
    <w:charset w:val="00"/>
    <w:family w:val="roman"/>
    <w:pitch w:val="variable"/>
    <w:sig w:usb0="E0002EFF" w:usb1="C000785B"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ourier New">
    <w:altName w:val="Courier New"/>
    <w:panose1 w:val="02070309020002020404"/>
    <w:charset w:val="00"/>
    <w:family w:val="modern"/>
    <w:pitch w:val="fixed"/>
    <w:sig w:usb0="E0002EFF" w:usb1="C0007843" w:usb2="00000009" w:usb3="00000000" w:csb0="000001FF" w:csb1="00000000"/>
  </w:font>
  <w:font w:name="Calibri">
    <w:altName w:val="Calibri"/>
    <w:panose1 w:val="020f0502020002030204"/>
    <w:charset w:val="00"/>
    <w:family w:val="swiss"/>
    <w:pitch w:val="variable"/>
    <w:sig w:usb0="E0002AFF" w:usb1="C000247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 w:name="Tahoma">
    <w:altName w:val="Tahoma"/>
    <w:panose1 w:val="020b0604030005040204"/>
    <w:charset w:val="00"/>
    <w:family w:val="swiss"/>
    <w:pitch w:val="variable"/>
    <w:sig w:usb0="E1002EFF" w:usb1="C000605B" w:usb2="00000029" w:usb3="00000000" w:csb0="000101FF" w:csb1="00000000"/>
  </w:font>
  <w:font w:name="PMingLiU">
    <w:altName w:val="新細明體"/>
    <w:panose1 w:val="02010601000001010101"/>
    <w:charset w:val="88"/>
    <w:family w:val="auto"/>
    <w:pitch w:val="variable"/>
    <w:sig w:usb0="00000001" w:usb1="08080000" w:usb2="00000010" w:usb3="00000000" w:csb0="00100000" w:csb1="00000000"/>
  </w:font>
</w:fonts>
</file>

<file path=word/footer2.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2"/>
      <w:pBdr>
        <w:top w:val="thinThickSmallGap" w:sz="24" w:space="1" w:color="622423"/>
      </w:pBdr>
      <w:rPr>
        <w:rFonts w:ascii="Cambria" w:cs="宋体" w:eastAsia="宋体" w:hAnsi="Cambria"/>
      </w:rPr>
    </w:pPr>
    <w:r>
      <w:rPr>
        <w:rFonts w:ascii="Cambria" w:cs="宋体" w:eastAsia="宋体" w:hAnsi="Cambria"/>
      </w:rPr>
      <w:t>NADI CHEL KO(S13350)</w:t>
    </w:r>
    <w:r>
      <w:rPr>
        <w:rFonts w:ascii="Cambria" w:cs="宋体" w:eastAsia="宋体" w:hAnsi="Cambria"/>
      </w:rPr>
      <w:t xml:space="preserve">Page </w:t>
    </w:r>
    <w:r>
      <w:rPr>
        <w:rFonts w:eastAsia="宋体"/>
      </w:rPr>
      <w:fldChar w:fldCharType="begin"/>
    </w:r>
    <w:r>
      <w:instrText xml:space="preserve"> PAGE   \* MERGEFORMAT </w:instrText>
    </w:r>
    <w:r>
      <w:rPr>
        <w:rFonts w:eastAsia="宋体"/>
      </w:rPr>
      <w:fldChar w:fldCharType="separate"/>
    </w:r>
    <w:r>
      <w:rPr>
        <w:rFonts w:ascii="Cambria" w:cs="宋体" w:eastAsia="宋体" w:hAnsi="Cambria"/>
        <w:noProof/>
      </w:rPr>
      <w:t>2</w:t>
    </w:r>
    <w:r>
      <w:rPr>
        <w:rFonts w:ascii="Cambria" w:cs="宋体" w:eastAsia="宋体" w:hAnsi="Cambria"/>
        <w:noProof/>
      </w:rPr>
      <w:fldChar w:fldCharType="end"/>
    </w:r>
  </w:p>
  <w:p>
    <w:pPr>
      <w:pStyle w:val="style32"/>
      <w:rPr/>
    </w:pP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pBdr>
        <w:bottom w:val="thickThinSmallGap" w:sz="24" w:space="1" w:color="622423"/>
      </w:pBdr>
      <w:jc w:val="center"/>
      <w:rPr>
        <w:rFonts w:ascii="Cambria" w:cs="宋体" w:eastAsia="宋体" w:hAnsi="Cambria"/>
        <w:sz w:val="32"/>
        <w:szCs w:val="32"/>
      </w:rPr>
    </w:pPr>
    <w:r>
      <w:rPr>
        <w:rFonts w:ascii="Cambria" w:cs="宋体" w:eastAsia="宋体" w:hAnsi="Cambria"/>
        <w:sz w:val="32"/>
        <w:szCs w:val="32"/>
        <w:lang w:val="en-US"/>
      </w:rPr>
      <w:t>BSBCOM603 Plan and establish Compliance Management System</w:t>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singleLevel"/>
    <w:tmpl w:val="9E70AC46"/>
    <w:lvl w:ilvl="0">
      <w:start w:val="1"/>
      <w:numFmt w:val="bullet"/>
      <w:lvlText w:val=""/>
      <w:lvlJc w:val="left"/>
      <w:pPr>
        <w:tabs>
          <w:tab w:val="left" w:leader="none" w:pos="360"/>
        </w:tabs>
        <w:ind w:left="360" w:hanging="360"/>
      </w:pPr>
      <w:rPr>
        <w:rFonts w:ascii="Symbol" w:hAnsi="Symbol" w:hint="default"/>
      </w:rPr>
    </w:lvl>
  </w:abstractNum>
  <w:abstractNum w:abstractNumId="1">
    <w:nsid w:val="00000001"/>
    <w:multiLevelType w:val="hybridMultilevel"/>
    <w:tmpl w:val="CAAA6BB6"/>
    <w:lvl w:ilvl="0" w:tplc="04090019">
      <w:start w:val="3"/>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0000002"/>
    <w:multiLevelType w:val="multilevel"/>
    <w:tmpl w:val="0740769A"/>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3">
    <w:nsid w:val="00000003"/>
    <w:multiLevelType w:val="hybridMultilevel"/>
    <w:tmpl w:val="5F4A37C8"/>
    <w:lvl w:ilvl="0" w:tplc="CBD8978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0000004"/>
    <w:multiLevelType w:val="hybridMultilevel"/>
    <w:tmpl w:val="340C2788"/>
    <w:lvl w:ilvl="0" w:tplc="04090009">
      <w:start w:val="1"/>
      <w:numFmt w:val="bullet"/>
      <w:lvlText w:val=""/>
      <w:lvlJc w:val="left"/>
      <w:pPr>
        <w:ind w:left="1080" w:hanging="360"/>
      </w:pPr>
      <w:rPr>
        <w:rFonts w:ascii="Wingdings" w:hAnsi="Wingding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00000005"/>
    <w:multiLevelType w:val="multilevel"/>
    <w:tmpl w:val="D01C3E76"/>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6">
    <w:nsid w:val="00000006"/>
    <w:multiLevelType w:val="multilevel"/>
    <w:tmpl w:val="AD425EA4"/>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7">
    <w:nsid w:val="00000007"/>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00000008"/>
    <w:multiLevelType w:val="hybridMultilevel"/>
    <w:tmpl w:val="A51CBE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0000009"/>
    <w:multiLevelType w:val="hybridMultilevel"/>
    <w:tmpl w:val="580092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000000A"/>
    <w:multiLevelType w:val="hybridMultilevel"/>
    <w:tmpl w:val="349A633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000000B"/>
    <w:multiLevelType w:val="hybridMultilevel"/>
    <w:tmpl w:val="33D25C4C"/>
    <w:lvl w:ilvl="0" w:tplc="30B6002E">
      <w:start w:val="4"/>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0000000C"/>
    <w:multiLevelType w:val="hybridMultilevel"/>
    <w:tmpl w:val="FB2C90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7"/>
  </w:num>
  <w:num w:numId="4">
    <w:abstractNumId w:val="5"/>
  </w:num>
  <w:num w:numId="5">
    <w:abstractNumId w:val="8"/>
  </w:num>
  <w:num w:numId="6">
    <w:abstractNumId w:val="9"/>
  </w:num>
  <w:num w:numId="7">
    <w:abstractNumId w:val="12"/>
  </w:num>
  <w:num w:numId="8">
    <w:abstractNumId w:val="3"/>
  </w:num>
  <w:num w:numId="9">
    <w:abstractNumId w:val="10"/>
  </w:num>
  <w:num w:numId="10">
    <w:abstractNumId w:val="1"/>
  </w:num>
  <w:num w:numId="11">
    <w:abstractNumId w:val="11"/>
  </w:num>
  <w:num w:numId="12">
    <w:abstractNumId w:val="4"/>
  </w:num>
  <w:num w:numId="13">
    <w:abstractNumId w:val="6"/>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rPr>
      <w:lang w:val="en-AU"/>
    </w:rPr>
  </w:style>
  <w:style w:type="paragraph" w:styleId="style1">
    <w:name w:val="heading 1"/>
    <w:basedOn w:val="style0"/>
    <w:next w:val="style0"/>
    <w:link w:val="style4099"/>
    <w:qFormat/>
    <w:uiPriority w:val="9"/>
    <w:pPr>
      <w:keepNext/>
      <w:keepLines/>
      <w:spacing w:before="480" w:after="0"/>
      <w:outlineLvl w:val="0"/>
    </w:pPr>
    <w:rPr>
      <w:rFonts w:ascii="Cambria" w:cs="宋体" w:eastAsia="宋体" w:hAnsi="Cambria"/>
      <w:b/>
      <w:bCs/>
      <w:color w:val="365f91"/>
      <w:sz w:val="28"/>
      <w:szCs w:val="28"/>
    </w:rPr>
  </w:style>
  <w:style w:type="paragraph" w:styleId="style2">
    <w:name w:val="heading 2"/>
    <w:basedOn w:val="style0"/>
    <w:next w:val="style0"/>
    <w:link w:val="style4103"/>
    <w:qFormat/>
    <w:uiPriority w:val="9"/>
    <w:pPr>
      <w:keepNext/>
      <w:keepLines/>
      <w:spacing w:before="200" w:after="0"/>
      <w:outlineLvl w:val="1"/>
    </w:pPr>
    <w:rPr>
      <w:rFonts w:ascii="Cambria" w:cs="宋体" w:eastAsia="宋体" w:hAnsi="Cambria"/>
      <w:b/>
      <w:bCs/>
      <w:color w:val="4f81bd"/>
      <w:sz w:val="26"/>
      <w:szCs w:val="26"/>
      <w:lang w:val="en-GB"/>
    </w:rPr>
  </w:style>
  <w:style w:type="paragraph" w:styleId="style3">
    <w:name w:val="heading 3"/>
    <w:basedOn w:val="style0"/>
    <w:next w:val="style0"/>
    <w:link w:val="style4104"/>
    <w:qFormat/>
    <w:uiPriority w:val="9"/>
    <w:pPr>
      <w:keepNext/>
      <w:keepLines/>
      <w:spacing w:before="200" w:after="0"/>
      <w:outlineLvl w:val="2"/>
    </w:pPr>
    <w:rPr>
      <w:rFonts w:ascii="Cambria" w:cs="宋体" w:eastAsia="宋体" w:hAnsi="Cambria"/>
      <w:b/>
      <w:bCs/>
      <w:color w:val="4f81bd"/>
      <w:lang w:val="en-GB"/>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513"/>
        <w:tab w:val="right" w:leader="none" w:pos="9026"/>
      </w:tabs>
      <w:spacing w:after="0" w:lineRule="auto" w:line="240"/>
    </w:pPr>
    <w:rPr/>
  </w:style>
  <w:style w:type="character" w:customStyle="1" w:styleId="style4097">
    <w:name w:val="Header Char_aaaf90d3-3b4f-4ac5-8e72-904e3e4ea8a7"/>
    <w:basedOn w:val="style65"/>
    <w:next w:val="style4097"/>
    <w:link w:val="style31"/>
    <w:uiPriority w:val="99"/>
    <w:rPr>
      <w:lang w:val="en-AU"/>
    </w:rPr>
  </w:style>
  <w:style w:type="paragraph" w:styleId="style32">
    <w:name w:val="footer"/>
    <w:basedOn w:val="style0"/>
    <w:next w:val="style32"/>
    <w:link w:val="style4098"/>
    <w:uiPriority w:val="99"/>
    <w:pPr>
      <w:tabs>
        <w:tab w:val="center" w:leader="none" w:pos="4513"/>
        <w:tab w:val="right" w:leader="none" w:pos="9026"/>
      </w:tabs>
      <w:spacing w:after="0" w:lineRule="auto" w:line="240"/>
    </w:pPr>
    <w:rPr/>
  </w:style>
  <w:style w:type="character" w:customStyle="1" w:styleId="style4098">
    <w:name w:val="Footer Char_92e835f1-d4ff-4053-9dba-dd9efa839309"/>
    <w:basedOn w:val="style65"/>
    <w:next w:val="style4098"/>
    <w:link w:val="style32"/>
    <w:uiPriority w:val="99"/>
    <w:rPr>
      <w:lang w:val="en-AU"/>
    </w:rPr>
  </w:style>
  <w:style w:type="paragraph" w:styleId="style179">
    <w:name w:val="List Paragraph"/>
    <w:basedOn w:val="style0"/>
    <w:next w:val="style179"/>
    <w:link w:val="style4100"/>
    <w:qFormat/>
    <w:uiPriority w:val="34"/>
    <w:pPr>
      <w:ind w:left="720"/>
      <w:contextualSpacing/>
    </w:pPr>
    <w:rPr/>
  </w:style>
  <w:style w:type="character" w:customStyle="1" w:styleId="style4099">
    <w:name w:val="Heading 1 Char_80282c68-0b66-4ff1-bdb5-4e0e9ab32cf5"/>
    <w:basedOn w:val="style65"/>
    <w:next w:val="style4099"/>
    <w:link w:val="style1"/>
    <w:uiPriority w:val="9"/>
    <w:rPr>
      <w:rFonts w:ascii="Cambria" w:cs="宋体" w:eastAsia="宋体" w:hAnsi="Cambria"/>
      <w:b/>
      <w:bCs/>
      <w:color w:val="365f91"/>
      <w:sz w:val="28"/>
      <w:szCs w:val="28"/>
      <w:lang w:val="en-AU"/>
    </w:rPr>
  </w:style>
  <w:style w:type="paragraph" w:styleId="style266">
    <w:name w:val="TOC Heading"/>
    <w:basedOn w:val="style1"/>
    <w:next w:val="style0"/>
    <w:qFormat/>
    <w:uiPriority w:val="39"/>
    <w:pPr>
      <w:outlineLvl w:val="9"/>
    </w:pPr>
    <w:rPr>
      <w:lang w:val="en-US" w:eastAsia="ja-JP"/>
    </w:rPr>
  </w:style>
  <w:style w:type="paragraph" w:styleId="style19">
    <w:name w:val="toc 1"/>
    <w:basedOn w:val="style0"/>
    <w:next w:val="style0"/>
    <w:uiPriority w:val="39"/>
    <w:pPr>
      <w:tabs>
        <w:tab w:val="left" w:leader="none" w:pos="440"/>
        <w:tab w:val="right" w:leader="dot" w:pos="9060"/>
      </w:tabs>
      <w:spacing w:after="100" w:lineRule="auto" w:line="240"/>
    </w:pPr>
    <w:rPr/>
  </w:style>
  <w:style w:type="character" w:styleId="style85">
    <w:name w:val="Hyperlink"/>
    <w:basedOn w:val="style65"/>
    <w:next w:val="style85"/>
    <w:uiPriority w:val="99"/>
    <w:rPr>
      <w:color w:val="0000ff"/>
      <w:u w:val="single"/>
    </w:rPr>
  </w:style>
  <w:style w:type="table" w:styleId="style154">
    <w:name w:val="Table Grid"/>
    <w:basedOn w:val="style105"/>
    <w:next w:val="style154"/>
    <w:uiPriority w:val="59"/>
    <w:pPr>
      <w:spacing w:after="0" w:lineRule="auto" w:line="240"/>
    </w:pPr>
    <w:rPr>
      <w:lang w:val="en-A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cPr>
  </w:style>
  <w:style w:type="paragraph" w:styleId="style20">
    <w:name w:val="toc 2"/>
    <w:basedOn w:val="style0"/>
    <w:next w:val="style0"/>
    <w:uiPriority w:val="39"/>
    <w:pPr>
      <w:tabs>
        <w:tab w:val="left" w:leader="none" w:pos="880"/>
        <w:tab w:val="right" w:leader="dot" w:pos="9016"/>
      </w:tabs>
      <w:spacing w:after="100"/>
      <w:ind w:left="142"/>
    </w:pPr>
    <w:rPr/>
  </w:style>
  <w:style w:type="paragraph" w:styleId="style21">
    <w:name w:val="toc 3"/>
    <w:basedOn w:val="style0"/>
    <w:next w:val="style0"/>
    <w:uiPriority w:val="39"/>
    <w:pPr>
      <w:spacing w:after="100"/>
      <w:ind w:left="440"/>
    </w:pPr>
    <w:rPr/>
  </w:style>
  <w:style w:type="character" w:customStyle="1" w:styleId="style4100">
    <w:name w:val="List Paragraph Char"/>
    <w:next w:val="style4100"/>
    <w:link w:val="style179"/>
    <w:uiPriority w:val="34"/>
    <w:rPr>
      <w:lang w:val="en-AU"/>
    </w:rPr>
  </w:style>
  <w:style w:type="paragraph" w:styleId="style157">
    <w:name w:val="No Spacing"/>
    <w:next w:val="style157"/>
    <w:link w:val="style4101"/>
    <w:qFormat/>
    <w:uiPriority w:val="1"/>
    <w:pPr>
      <w:spacing w:after="0" w:lineRule="auto" w:line="240"/>
    </w:pPr>
    <w:rPr>
      <w:rFonts w:eastAsia="宋体"/>
      <w:lang w:val="en-US" w:eastAsia="ja-JP"/>
    </w:rPr>
  </w:style>
  <w:style w:type="character" w:customStyle="1" w:styleId="style4101">
    <w:name w:val="No Spacing Char"/>
    <w:basedOn w:val="style65"/>
    <w:next w:val="style4101"/>
    <w:link w:val="style157"/>
    <w:uiPriority w:val="1"/>
    <w:rPr>
      <w:rFonts w:eastAsia="宋体"/>
      <w:lang w:val="en-US" w:eastAsia="ja-JP"/>
    </w:rPr>
  </w:style>
  <w:style w:type="paragraph" w:styleId="style153">
    <w:name w:val="Balloon Text"/>
    <w:basedOn w:val="style0"/>
    <w:next w:val="style153"/>
    <w:link w:val="style4102"/>
    <w:uiPriority w:val="99"/>
    <w:pPr>
      <w:spacing w:after="0" w:lineRule="auto" w:line="240"/>
    </w:pPr>
    <w:rPr>
      <w:rFonts w:ascii="Tahoma" w:cs="Tahoma" w:hAnsi="Tahoma"/>
      <w:sz w:val="16"/>
      <w:szCs w:val="16"/>
    </w:rPr>
  </w:style>
  <w:style w:type="character" w:customStyle="1" w:styleId="style4102">
    <w:name w:val="Balloon Text Char"/>
    <w:basedOn w:val="style65"/>
    <w:next w:val="style4102"/>
    <w:link w:val="style153"/>
    <w:uiPriority w:val="99"/>
    <w:rPr>
      <w:rFonts w:ascii="Tahoma" w:cs="Tahoma" w:hAnsi="Tahoma"/>
      <w:sz w:val="16"/>
      <w:szCs w:val="16"/>
      <w:lang w:val="en-AU"/>
    </w:rPr>
  </w:style>
  <w:style w:type="character" w:customStyle="1" w:styleId="style4103">
    <w:name w:val="Heading 2 Char_d5886d6a-9e06-48ab-a6c4-5a637325e26d"/>
    <w:basedOn w:val="style65"/>
    <w:next w:val="style4103"/>
    <w:link w:val="style2"/>
    <w:uiPriority w:val="9"/>
    <w:rPr>
      <w:rFonts w:ascii="Cambria" w:cs="宋体" w:eastAsia="宋体" w:hAnsi="Cambria"/>
      <w:b/>
      <w:bCs/>
      <w:color w:val="4f81bd"/>
      <w:sz w:val="26"/>
      <w:szCs w:val="26"/>
    </w:rPr>
  </w:style>
  <w:style w:type="character" w:customStyle="1" w:styleId="style4104">
    <w:name w:val="Heading 3 Char_18bfc0db-c6d7-4c66-88e4-c63c34d4dc57"/>
    <w:basedOn w:val="style65"/>
    <w:next w:val="style4104"/>
    <w:link w:val="style3"/>
    <w:uiPriority w:val="9"/>
    <w:rPr>
      <w:rFonts w:ascii="Cambria" w:cs="宋体" w:eastAsia="宋体" w:hAnsi="Cambria"/>
      <w:b/>
      <w:bCs/>
      <w:color w:val="4f81bd"/>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footer" Target="foot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2397</Words>
  <Pages>14</Pages>
  <Characters>13346</Characters>
  <Application>WPS Office</Application>
  <DocSecurity>0</DocSecurity>
  <Paragraphs>229</Paragraphs>
  <ScaleCrop>false</ScaleCrop>
  <Company>Microsoft</Company>
  <LinksUpToDate>false</LinksUpToDate>
  <CharactersWithSpaces>15927</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2020-01-23T11:43:17Z</dcterms:created>
  <dc:creator>Nadi Chel Ko</dc:creator>
  <lastModifiedBy>JKM-LX1</lastModifiedBy>
  <dcterms:modified xsi:type="dcterms:W3CDTF">2020-01-23T11:43:18Z</dcterms:modified>
  <revision>2</revision>
  <dc:subject>Assessment 1</dc:subject>
  <dc:title>BSBCOM603 Plan and establish Compliance Management System</dc:title>
</coreProperties>
</file>

<file path=docProps/custom.xml><?xml version="1.0" encoding="utf-8"?>
<Properties xmlns="http://schemas.openxmlformats.org/officeDocument/2006/custom-properties" xmlns:vt="http://schemas.openxmlformats.org/officeDocument/2006/docPropsVTypes"/>
</file>